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1F5023">
        <w:rPr>
          <w:b/>
          <w:sz w:val="28"/>
          <w:szCs w:val="28"/>
        </w:rPr>
        <w:t xml:space="preserve">лекарственных препаратов противомикробных для системного использования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1F5023">
        <w:rPr>
          <w:b/>
          <w:kern w:val="32"/>
          <w:sz w:val="28"/>
          <w:szCs w:val="28"/>
        </w:rPr>
        <w:t>122-23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43158C">
            <w:pPr>
              <w:autoSpaceDE w:val="0"/>
              <w:autoSpaceDN w:val="0"/>
              <w:adjustRightInd w:val="0"/>
              <w:ind w:firstLine="170"/>
              <w:jc w:val="both"/>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1F5023"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1F5023">
              <w:rPr>
                <w:bCs/>
                <w:sz w:val="20"/>
                <w:szCs w:val="20"/>
              </w:rPr>
              <w:t>лекарственных препаратов противомикробных для системного использования</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3A32A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B59D3" w:rsidRPr="005E1198" w:rsidRDefault="006C1383" w:rsidP="00F43414">
            <w:pPr>
              <w:ind w:firstLine="170"/>
              <w:jc w:val="both"/>
              <w:rPr>
                <w:sz w:val="20"/>
                <w:szCs w:val="20"/>
              </w:rPr>
            </w:pPr>
            <w:r w:rsidRPr="006C1383">
              <w:rPr>
                <w:sz w:val="20"/>
                <w:szCs w:val="20"/>
              </w:rPr>
              <w:t>21.20.10.211</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5918EB" w:rsidRPr="008024A7" w:rsidRDefault="001F5023" w:rsidP="00F43414">
            <w:pPr>
              <w:autoSpaceDE w:val="0"/>
              <w:autoSpaceDN w:val="0"/>
              <w:adjustRightInd w:val="0"/>
              <w:ind w:firstLine="170"/>
              <w:jc w:val="both"/>
              <w:rPr>
                <w:sz w:val="20"/>
                <w:szCs w:val="20"/>
              </w:rPr>
            </w:pPr>
            <w:r>
              <w:rPr>
                <w:sz w:val="20"/>
                <w:szCs w:val="20"/>
              </w:rPr>
              <w:t>557</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1F5023">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1F5023">
              <w:rPr>
                <w:sz w:val="20"/>
                <w:szCs w:val="20"/>
              </w:rPr>
              <w:t>31.12.2023</w:t>
            </w:r>
            <w:r>
              <w:rPr>
                <w:sz w:val="20"/>
                <w:szCs w:val="20"/>
              </w:rPr>
              <w:t xml:space="preserve"> г. Поставка товара по заявке Заказчика осуществляется в течение 3 (трех)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1F5023" w:rsidP="001F5023">
            <w:pPr>
              <w:tabs>
                <w:tab w:val="left" w:pos="6022"/>
              </w:tabs>
              <w:ind w:right="72" w:firstLine="170"/>
              <w:jc w:val="both"/>
              <w:rPr>
                <w:sz w:val="20"/>
                <w:szCs w:val="20"/>
              </w:rPr>
            </w:pPr>
            <w:r w:rsidRPr="001F5023">
              <w:rPr>
                <w:sz w:val="20"/>
                <w:szCs w:val="20"/>
              </w:rPr>
              <w:t>35037</w:t>
            </w:r>
            <w:r>
              <w:rPr>
                <w:sz w:val="20"/>
                <w:szCs w:val="20"/>
              </w:rPr>
              <w:t>,</w:t>
            </w:r>
            <w:r w:rsidRPr="001F5023">
              <w:rPr>
                <w:sz w:val="20"/>
                <w:szCs w:val="20"/>
              </w:rPr>
              <w:t>67 руб. (тридцать пять тысяч тридцать семь рублей шестьдесят семь копеек)</w:t>
            </w:r>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6C1383">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543ADA">
              <w:rPr>
                <w:b/>
                <w:sz w:val="20"/>
                <w:szCs w:val="20"/>
              </w:rPr>
              <w:t>1</w:t>
            </w:r>
            <w:r w:rsidR="006C1383">
              <w:rPr>
                <w:b/>
                <w:sz w:val="20"/>
                <w:szCs w:val="20"/>
              </w:rPr>
              <w:t>2</w:t>
            </w:r>
            <w:r w:rsidRPr="008024A7">
              <w:rPr>
                <w:b/>
                <w:sz w:val="20"/>
                <w:szCs w:val="20"/>
              </w:rPr>
              <w:t>»</w:t>
            </w:r>
            <w:r w:rsidR="00C164C1">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543ADA">
              <w:rPr>
                <w:b/>
                <w:sz w:val="20"/>
                <w:szCs w:val="20"/>
              </w:rPr>
              <w:t>1</w:t>
            </w:r>
            <w:r w:rsidR="006C1383">
              <w:rPr>
                <w:b/>
                <w:sz w:val="20"/>
                <w:szCs w:val="20"/>
              </w:rPr>
              <w:t>9</w:t>
            </w:r>
            <w:r w:rsidRPr="008024A7">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32EE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w:t>
            </w:r>
            <w:r w:rsidRPr="008024A7">
              <w:rPr>
                <w:sz w:val="20"/>
                <w:szCs w:val="20"/>
              </w:rPr>
              <w:lastRenderedPageBreak/>
              <w:t xml:space="preserve">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543ADA">
              <w:rPr>
                <w:sz w:val="20"/>
                <w:szCs w:val="20"/>
              </w:rPr>
              <w:t>1</w:t>
            </w:r>
            <w:r w:rsidR="006C1383">
              <w:rPr>
                <w:sz w:val="20"/>
                <w:szCs w:val="20"/>
              </w:rPr>
              <w:t>2</w:t>
            </w:r>
            <w:r w:rsidR="00543ADA">
              <w:rPr>
                <w:sz w:val="20"/>
                <w:szCs w:val="20"/>
              </w:rPr>
              <w:t>»</w:t>
            </w:r>
            <w:r w:rsidRPr="008024A7">
              <w:rPr>
                <w:sz w:val="20"/>
                <w:szCs w:val="20"/>
              </w:rPr>
              <w:t xml:space="preserve"> </w:t>
            </w:r>
            <w:r w:rsidR="00543ADA">
              <w:rPr>
                <w:sz w:val="20"/>
                <w:szCs w:val="20"/>
              </w:rPr>
              <w:t>мая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6C1383">
            <w:pPr>
              <w:ind w:firstLine="170"/>
              <w:jc w:val="both"/>
              <w:rPr>
                <w:sz w:val="20"/>
                <w:szCs w:val="20"/>
              </w:rPr>
            </w:pPr>
            <w:r w:rsidRPr="008024A7">
              <w:rPr>
                <w:bCs/>
                <w:sz w:val="20"/>
                <w:szCs w:val="20"/>
              </w:rPr>
              <w:t>«</w:t>
            </w:r>
            <w:r w:rsidR="00543ADA">
              <w:rPr>
                <w:bCs/>
                <w:sz w:val="20"/>
                <w:szCs w:val="20"/>
              </w:rPr>
              <w:t>1</w:t>
            </w:r>
            <w:r w:rsidR="006C1383">
              <w:rPr>
                <w:bCs/>
                <w:sz w:val="20"/>
                <w:szCs w:val="20"/>
              </w:rPr>
              <w:t>9</w:t>
            </w:r>
            <w:r w:rsidRPr="008024A7">
              <w:rPr>
                <w:bCs/>
                <w:sz w:val="20"/>
                <w:szCs w:val="20"/>
              </w:rPr>
              <w:t xml:space="preserve">» </w:t>
            </w:r>
            <w:r w:rsidR="00543ADA">
              <w:rPr>
                <w:bCs/>
                <w:sz w:val="20"/>
                <w:szCs w:val="20"/>
              </w:rPr>
              <w:t>мая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Default="001F5023" w:rsidP="00C164C1">
            <w:pPr>
              <w:shd w:val="clear" w:color="auto" w:fill="FFFFFF"/>
              <w:tabs>
                <w:tab w:val="left" w:pos="1701"/>
                <w:tab w:val="left" w:pos="2127"/>
              </w:tabs>
              <w:ind w:firstLine="170"/>
              <w:jc w:val="both"/>
              <w:rPr>
                <w:b/>
                <w:sz w:val="20"/>
                <w:szCs w:val="20"/>
              </w:rPr>
            </w:pPr>
            <w:r w:rsidRPr="001F5023">
              <w:rPr>
                <w:b/>
                <w:sz w:val="20"/>
                <w:szCs w:val="20"/>
              </w:rPr>
              <w:t>1051</w:t>
            </w:r>
            <w:r>
              <w:rPr>
                <w:b/>
                <w:sz w:val="20"/>
                <w:szCs w:val="20"/>
              </w:rPr>
              <w:t>,</w:t>
            </w:r>
            <w:r w:rsidRPr="001F5023">
              <w:rPr>
                <w:b/>
                <w:sz w:val="20"/>
                <w:szCs w:val="20"/>
              </w:rPr>
              <w:t>13 руб. (одна тысяча пятьдесят один рубль тринадцать копеек)</w:t>
            </w:r>
            <w:r w:rsidR="006C1383" w:rsidRPr="006C1383">
              <w:rPr>
                <w:b/>
                <w:sz w:val="20"/>
                <w:szCs w:val="20"/>
              </w:rPr>
              <w:t xml:space="preserve"> </w:t>
            </w:r>
          </w:p>
          <w:p w:rsidR="006C1383" w:rsidRPr="008024A7" w:rsidRDefault="006C1383"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0F4889">
            <w:pPr>
              <w:pStyle w:val="ad"/>
              <w:numPr>
                <w:ilvl w:val="0"/>
                <w:numId w:val="5"/>
              </w:numPr>
              <w:shd w:val="clear" w:color="auto" w:fill="FFFFFF"/>
              <w:tabs>
                <w:tab w:val="left" w:pos="317"/>
                <w:tab w:val="left" w:pos="459"/>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sidR="0043158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F32EED">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roofErr w:type="gramEnd"/>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F32EED" w:rsidRDefault="00002A11" w:rsidP="00F32EED">
            <w:pPr>
              <w:autoSpaceDE w:val="0"/>
              <w:autoSpaceDN w:val="0"/>
              <w:adjustRightInd w:val="0"/>
              <w:ind w:firstLine="170"/>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w:t>
            </w:r>
            <w:r w:rsidR="00F32EED" w:rsidRPr="00F32EED">
              <w:rPr>
                <w:sz w:val="20"/>
                <w:szCs w:val="20"/>
              </w:rPr>
              <w:t>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proofErr w:type="gramEnd"/>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543ADA" w:rsidRPr="008024A7" w:rsidRDefault="00543ADA" w:rsidP="00C164C1">
            <w:pPr>
              <w:autoSpaceDE w:val="0"/>
              <w:autoSpaceDN w:val="0"/>
              <w:adjustRightInd w:val="0"/>
              <w:ind w:firstLine="170"/>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F32EED" w:rsidRPr="008024A7" w:rsidRDefault="00002A11" w:rsidP="00F32EE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6C1383">
            <w:pPr>
              <w:ind w:firstLine="170"/>
              <w:jc w:val="both"/>
              <w:rPr>
                <w:sz w:val="20"/>
                <w:szCs w:val="20"/>
              </w:rPr>
            </w:pPr>
            <w:r w:rsidRPr="008024A7">
              <w:rPr>
                <w:sz w:val="20"/>
                <w:szCs w:val="20"/>
              </w:rPr>
              <w:t>«</w:t>
            </w:r>
            <w:r w:rsidR="00543ADA">
              <w:rPr>
                <w:sz w:val="20"/>
                <w:szCs w:val="20"/>
              </w:rPr>
              <w:t>1</w:t>
            </w:r>
            <w:r w:rsidR="006C1383">
              <w:rPr>
                <w:sz w:val="20"/>
                <w:szCs w:val="20"/>
              </w:rPr>
              <w:t>8</w:t>
            </w:r>
            <w:r w:rsidR="00487F7E" w:rsidRPr="008024A7">
              <w:rPr>
                <w:sz w:val="20"/>
                <w:szCs w:val="20"/>
              </w:rPr>
              <w:t xml:space="preserve">» </w:t>
            </w:r>
            <w:r w:rsidR="00543ADA">
              <w:rPr>
                <w:sz w:val="20"/>
                <w:szCs w:val="20"/>
              </w:rPr>
              <w:t xml:space="preserve">мая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6C1383">
            <w:pPr>
              <w:ind w:firstLine="170"/>
              <w:rPr>
                <w:b/>
                <w:sz w:val="20"/>
                <w:szCs w:val="20"/>
              </w:rPr>
            </w:pPr>
            <w:r w:rsidRPr="00180675">
              <w:rPr>
                <w:b/>
                <w:sz w:val="20"/>
                <w:szCs w:val="20"/>
              </w:rPr>
              <w:t>«</w:t>
            </w:r>
            <w:r w:rsidR="00543ADA">
              <w:rPr>
                <w:b/>
                <w:sz w:val="20"/>
                <w:szCs w:val="20"/>
              </w:rPr>
              <w:t>1</w:t>
            </w:r>
            <w:r w:rsidR="006C1383">
              <w:rPr>
                <w:b/>
                <w:sz w:val="20"/>
                <w:szCs w:val="20"/>
              </w:rPr>
              <w:t>9</w:t>
            </w:r>
            <w:r w:rsidRPr="00180675">
              <w:rPr>
                <w:b/>
                <w:sz w:val="20"/>
                <w:szCs w:val="20"/>
              </w:rPr>
              <w:t xml:space="preserve">» </w:t>
            </w:r>
            <w:r w:rsidR="00543ADA">
              <w:rPr>
                <w:b/>
                <w:sz w:val="20"/>
                <w:szCs w:val="20"/>
              </w:rPr>
              <w:t>мая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543ADA">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w:t>
            </w:r>
            <w:r w:rsidR="003C019B">
              <w:rPr>
                <w:bCs/>
                <w:sz w:val="20"/>
                <w:szCs w:val="20"/>
              </w:rPr>
              <w:t xml:space="preserve"> </w:t>
            </w:r>
            <w:r w:rsidRPr="008024A7">
              <w:rPr>
                <w:bCs/>
                <w:sz w:val="20"/>
                <w:szCs w:val="20"/>
              </w:rPr>
              <w:t>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6C1383" w:rsidRDefault="006C1383"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F32EED" w:rsidRDefault="00F32EED"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1F5023">
        <w:rPr>
          <w:b/>
          <w:bCs/>
          <w:sz w:val="20"/>
        </w:rPr>
        <w:t xml:space="preserve">лекарственных препаратов противомикробных для системного использования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1F5023">
        <w:rPr>
          <w:b/>
          <w:kern w:val="32"/>
          <w:sz w:val="20"/>
          <w:szCs w:val="20"/>
        </w:rPr>
        <w:t>122-23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1F5023">
        <w:rPr>
          <w:b/>
          <w:bCs/>
          <w:sz w:val="20"/>
        </w:rPr>
        <w:t>лекарственных препаратов противомикробных для системного использования</w:t>
      </w:r>
    </w:p>
    <w:tbl>
      <w:tblPr>
        <w:tblW w:w="0" w:type="auto"/>
        <w:tblLook w:val="04A0" w:firstRow="1" w:lastRow="0" w:firstColumn="1" w:lastColumn="0" w:noHBand="0" w:noVBand="1"/>
      </w:tblPr>
      <w:tblGrid>
        <w:gridCol w:w="533"/>
        <w:gridCol w:w="3360"/>
        <w:gridCol w:w="3074"/>
        <w:gridCol w:w="593"/>
        <w:gridCol w:w="647"/>
        <w:gridCol w:w="2214"/>
      </w:tblGrid>
      <w:tr w:rsidR="00444526" w:rsidRPr="00543ADA" w:rsidTr="003A32A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C86DE8">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C86DE8">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color w:val="000000"/>
                <w:sz w:val="18"/>
                <w:szCs w:val="18"/>
              </w:rPr>
              <w:t>Начальная (максимальная)* цена за ед., руб.</w:t>
            </w:r>
          </w:p>
        </w:tc>
      </w:tr>
      <w:tr w:rsidR="001F5023" w:rsidRPr="00543ADA" w:rsidTr="006C1383">
        <w:trPr>
          <w:cantSplit/>
          <w:trHeight w:val="132"/>
        </w:trPr>
        <w:tc>
          <w:tcPr>
            <w:tcW w:w="0" w:type="auto"/>
            <w:tcBorders>
              <w:top w:val="single" w:sz="4" w:space="0" w:color="auto"/>
              <w:left w:val="single" w:sz="4" w:space="0" w:color="auto"/>
              <w:bottom w:val="single" w:sz="4" w:space="0" w:color="auto"/>
              <w:right w:val="nil"/>
            </w:tcBorders>
            <w:shd w:val="clear" w:color="auto" w:fill="auto"/>
          </w:tcPr>
          <w:p w:rsidR="001F5023" w:rsidRPr="00543ADA" w:rsidRDefault="001F5023" w:rsidP="006C1383">
            <w:pPr>
              <w:jc w:val="center"/>
              <w:rPr>
                <w:sz w:val="18"/>
                <w:szCs w:val="18"/>
              </w:rPr>
            </w:pPr>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5023" w:rsidRPr="001F5023" w:rsidRDefault="001F5023">
            <w:pPr>
              <w:rPr>
                <w:color w:val="000000"/>
                <w:sz w:val="18"/>
                <w:szCs w:val="18"/>
              </w:rPr>
            </w:pPr>
            <w:r w:rsidRPr="001F5023">
              <w:rPr>
                <w:color w:val="000000"/>
                <w:sz w:val="18"/>
                <w:szCs w:val="18"/>
              </w:rPr>
              <w:t>Ко-</w:t>
            </w:r>
            <w:proofErr w:type="spellStart"/>
            <w:r w:rsidRPr="001F5023">
              <w:rPr>
                <w:color w:val="000000"/>
                <w:sz w:val="18"/>
                <w:szCs w:val="18"/>
              </w:rPr>
              <w:t>тримоксазол</w:t>
            </w:r>
            <w:proofErr w:type="spellEnd"/>
            <w:r w:rsidRPr="001F5023">
              <w:rPr>
                <w:color w:val="000000"/>
                <w:sz w:val="18"/>
                <w:szCs w:val="18"/>
              </w:rPr>
              <w:t xml:space="preserve"> (</w:t>
            </w:r>
            <w:proofErr w:type="spellStart"/>
            <w:r w:rsidRPr="001F5023">
              <w:rPr>
                <w:color w:val="000000"/>
                <w:sz w:val="18"/>
                <w:szCs w:val="18"/>
              </w:rPr>
              <w:t>сульфаметоксазол+триметоприм</w:t>
            </w:r>
            <w:proofErr w:type="spellEnd"/>
            <w:r w:rsidRPr="001F5023">
              <w:rPr>
                <w:color w:val="000000"/>
                <w:sz w:val="18"/>
                <w:szCs w:val="18"/>
              </w:rPr>
              <w:t xml:space="preserve">) </w:t>
            </w:r>
          </w:p>
        </w:tc>
        <w:tc>
          <w:tcPr>
            <w:tcW w:w="0" w:type="auto"/>
            <w:tcBorders>
              <w:top w:val="single" w:sz="4" w:space="0" w:color="auto"/>
              <w:left w:val="nil"/>
              <w:bottom w:val="single" w:sz="4" w:space="0" w:color="auto"/>
              <w:right w:val="single" w:sz="4" w:space="0" w:color="auto"/>
            </w:tcBorders>
          </w:tcPr>
          <w:p w:rsidR="001F5023" w:rsidRPr="001F5023" w:rsidRDefault="001F5023" w:rsidP="001F5023">
            <w:pPr>
              <w:jc w:val="both"/>
              <w:rPr>
                <w:color w:val="000000"/>
                <w:sz w:val="18"/>
                <w:szCs w:val="18"/>
              </w:rPr>
            </w:pPr>
            <w:r w:rsidRPr="001F5023">
              <w:rPr>
                <w:sz w:val="18"/>
                <w:szCs w:val="18"/>
              </w:rPr>
              <w:t xml:space="preserve">концентрат для приготовления раствора для </w:t>
            </w:r>
            <w:proofErr w:type="spellStart"/>
            <w:r w:rsidRPr="001F5023">
              <w:rPr>
                <w:sz w:val="18"/>
                <w:szCs w:val="18"/>
              </w:rPr>
              <w:t>инфузий</w:t>
            </w:r>
            <w:proofErr w:type="spellEnd"/>
            <w:r w:rsidRPr="001F5023">
              <w:rPr>
                <w:sz w:val="18"/>
                <w:szCs w:val="18"/>
              </w:rPr>
              <w:t>, (80 мг+16 мг)/мл, 5 мл – ампулы №</w:t>
            </w:r>
            <w:r>
              <w:rPr>
                <w:sz w:val="18"/>
                <w:szCs w:val="18"/>
              </w:rPr>
              <w:t xml:space="preserve"> </w:t>
            </w:r>
            <w:r w:rsidRPr="001F5023">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5023" w:rsidRPr="001F5023" w:rsidRDefault="001F5023">
            <w:pPr>
              <w:jc w:val="center"/>
              <w:rPr>
                <w:sz w:val="18"/>
                <w:szCs w:val="18"/>
                <w:lang w:eastAsia="en-US"/>
              </w:rPr>
            </w:pPr>
            <w:proofErr w:type="spellStart"/>
            <w:r w:rsidRPr="001F5023">
              <w:rPr>
                <w:sz w:val="18"/>
                <w:szCs w:val="18"/>
                <w:lang w:eastAsia="en-US"/>
              </w:rPr>
              <w:t>Уп</w:t>
            </w:r>
            <w:proofErr w:type="spellEnd"/>
            <w:r w:rsidRPr="001F5023">
              <w:rPr>
                <w:sz w:val="18"/>
                <w:szCs w:val="18"/>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1F5023" w:rsidRPr="001F5023" w:rsidRDefault="001F5023">
            <w:pPr>
              <w:jc w:val="center"/>
              <w:rPr>
                <w:sz w:val="18"/>
                <w:szCs w:val="18"/>
                <w:lang w:eastAsia="en-US"/>
              </w:rPr>
            </w:pPr>
            <w:r w:rsidRPr="001F5023">
              <w:rPr>
                <w:sz w:val="18"/>
                <w:szCs w:val="18"/>
                <w:lang w:eastAsia="en-US"/>
              </w:rPr>
              <w:t>100</w:t>
            </w:r>
          </w:p>
        </w:tc>
        <w:tc>
          <w:tcPr>
            <w:tcW w:w="0" w:type="auto"/>
            <w:tcBorders>
              <w:top w:val="single" w:sz="4" w:space="0" w:color="auto"/>
              <w:left w:val="nil"/>
              <w:bottom w:val="single" w:sz="4" w:space="0" w:color="auto"/>
              <w:right w:val="single" w:sz="4" w:space="0" w:color="auto"/>
            </w:tcBorders>
          </w:tcPr>
          <w:p w:rsidR="001F5023" w:rsidRPr="004A0A64" w:rsidRDefault="001F5023" w:rsidP="006C1383">
            <w:pPr>
              <w:jc w:val="center"/>
              <w:rPr>
                <w:color w:val="000000"/>
                <w:sz w:val="18"/>
              </w:rPr>
            </w:pPr>
            <w:r>
              <w:rPr>
                <w:color w:val="000000"/>
                <w:sz w:val="18"/>
              </w:rPr>
              <w:t>350,38</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w:t>
      </w:r>
      <w:bookmarkStart w:id="2" w:name="_GoBack"/>
      <w:bookmarkEnd w:id="2"/>
      <w:r w:rsidRPr="005A07FA">
        <w:rPr>
          <w:rFonts w:ascii="Times New Roman" w:hAnsi="Times New Roman"/>
          <w:sz w:val="20"/>
          <w:szCs w:val="20"/>
        </w:rPr>
        <w:t>,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74D2C" w:rsidRDefault="00774D2C"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6C1383" w:rsidRDefault="006C1383"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1F5023" w:rsidRDefault="001F5023" w:rsidP="001F5023">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1F5023" w:rsidRPr="00B8322C" w:rsidRDefault="001F5023" w:rsidP="001F5023">
      <w:pPr>
        <w:jc w:val="right"/>
        <w:rPr>
          <w:b/>
          <w:kern w:val="32"/>
          <w:sz w:val="20"/>
          <w:szCs w:val="20"/>
        </w:rPr>
      </w:pPr>
      <w:r w:rsidRPr="002D48A2">
        <w:rPr>
          <w:b/>
          <w:kern w:val="32"/>
          <w:sz w:val="20"/>
          <w:szCs w:val="20"/>
        </w:rPr>
        <w:t>на</w:t>
      </w:r>
      <w:r w:rsidRPr="002D48A2">
        <w:rPr>
          <w:b/>
          <w:sz w:val="20"/>
          <w:szCs w:val="20"/>
        </w:rPr>
        <w:t xml:space="preserve"> поставку</w:t>
      </w:r>
      <w:r>
        <w:rPr>
          <w:b/>
          <w:sz w:val="20"/>
          <w:szCs w:val="20"/>
        </w:rPr>
        <w:t xml:space="preserve"> </w:t>
      </w:r>
      <w:r>
        <w:rPr>
          <w:b/>
          <w:bCs/>
          <w:sz w:val="20"/>
        </w:rPr>
        <w:t xml:space="preserve">лекарственных препаратов противомикробных для системного использования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1F5023">
        <w:rPr>
          <w:b/>
          <w:kern w:val="32"/>
          <w:sz w:val="20"/>
          <w:szCs w:val="20"/>
        </w:rPr>
        <w:t>122-23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1F5023">
        <w:rPr>
          <w:sz w:val="19"/>
          <w:szCs w:val="19"/>
        </w:rPr>
        <w:t>122-23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1F5023">
        <w:rPr>
          <w:b/>
          <w:bCs/>
          <w:sz w:val="20"/>
        </w:rPr>
        <w:t>лекарственных препаратов противомикробных для системного использования</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1F5023">
        <w:rPr>
          <w:rFonts w:ascii="Times New Roman" w:hAnsi="Times New Roman" w:cs="Times New Roman"/>
          <w:bCs/>
          <w:sz w:val="19"/>
          <w:szCs w:val="19"/>
        </w:rPr>
        <w:t xml:space="preserve">лекарственных препаратов противомикробных для системного использования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1F5023">
        <w:rPr>
          <w:sz w:val="19"/>
          <w:szCs w:val="19"/>
        </w:rPr>
        <w:t>31.12.2023</w:t>
      </w:r>
      <w:r w:rsidR="00B401F5">
        <w:rPr>
          <w:sz w:val="19"/>
          <w:szCs w:val="19"/>
        </w:rPr>
        <w:t xml:space="preserve">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1F5023">
        <w:rPr>
          <w:sz w:val="20"/>
          <w:szCs w:val="20"/>
        </w:rPr>
        <w:t>122-23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1F5023" w:rsidRDefault="001F5023"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1F5023" w:rsidRDefault="001F5023" w:rsidP="001F5023">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1F5023" w:rsidRPr="00B8322C" w:rsidRDefault="001F5023" w:rsidP="001F5023">
      <w:pPr>
        <w:jc w:val="right"/>
        <w:rPr>
          <w:b/>
          <w:kern w:val="32"/>
          <w:sz w:val="20"/>
          <w:szCs w:val="20"/>
        </w:rPr>
      </w:pPr>
      <w:r w:rsidRPr="002D48A2">
        <w:rPr>
          <w:b/>
          <w:kern w:val="32"/>
          <w:sz w:val="20"/>
          <w:szCs w:val="20"/>
        </w:rPr>
        <w:t>на</w:t>
      </w:r>
      <w:r w:rsidRPr="002D48A2">
        <w:rPr>
          <w:b/>
          <w:sz w:val="20"/>
          <w:szCs w:val="20"/>
        </w:rPr>
        <w:t xml:space="preserve"> поставку</w:t>
      </w:r>
      <w:r>
        <w:rPr>
          <w:b/>
          <w:sz w:val="20"/>
          <w:szCs w:val="20"/>
        </w:rPr>
        <w:t xml:space="preserve"> </w:t>
      </w:r>
      <w:r>
        <w:rPr>
          <w:b/>
          <w:bCs/>
          <w:sz w:val="20"/>
        </w:rPr>
        <w:t xml:space="preserve">лекарственных препаратов противомикробных для системного использования </w:t>
      </w:r>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1F5023">
        <w:rPr>
          <w:b/>
          <w:kern w:val="32"/>
          <w:sz w:val="20"/>
          <w:szCs w:val="20"/>
        </w:rPr>
        <w:t>122-23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1F5023" w:rsidRPr="001F5023">
        <w:rPr>
          <w:bCs/>
          <w:sz w:val="20"/>
        </w:rPr>
        <w:t>лекарственных препаратов противомикробных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1F5023">
        <w:rPr>
          <w:b/>
          <w:bCs/>
          <w:sz w:val="20"/>
        </w:rPr>
        <w:t>лекарственных препаратов противомикробных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4" w:rsidRDefault="004A0A64" w:rsidP="00ED57EB">
      <w:r>
        <w:separator/>
      </w:r>
    </w:p>
  </w:endnote>
  <w:endnote w:type="continuationSeparator" w:id="0">
    <w:p w:rsidR="004A0A64" w:rsidRDefault="004A0A6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A0A64" w:rsidRDefault="004A0A64">
        <w:pPr>
          <w:pStyle w:val="af7"/>
          <w:jc w:val="right"/>
        </w:pPr>
        <w:r>
          <w:fldChar w:fldCharType="begin"/>
        </w:r>
        <w:r>
          <w:instrText xml:space="preserve"> PAGE   \* MERGEFORMAT </w:instrText>
        </w:r>
        <w:r>
          <w:fldChar w:fldCharType="separate"/>
        </w:r>
        <w:r w:rsidR="001F5023">
          <w:rPr>
            <w:noProof/>
          </w:rPr>
          <w:t>17</w:t>
        </w:r>
        <w:r>
          <w:rPr>
            <w:noProof/>
          </w:rPr>
          <w:fldChar w:fldCharType="end"/>
        </w:r>
      </w:p>
    </w:sdtContent>
  </w:sdt>
  <w:p w:rsidR="004A0A64" w:rsidRDefault="004A0A6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4" w:rsidRDefault="004A0A64" w:rsidP="00ED57EB">
      <w:r>
        <w:separator/>
      </w:r>
    </w:p>
  </w:footnote>
  <w:footnote w:type="continuationSeparator" w:id="0">
    <w:p w:rsidR="004A0A64" w:rsidRDefault="004A0A64" w:rsidP="00ED57EB">
      <w:r>
        <w:continuationSeparator/>
      </w:r>
    </w:p>
  </w:footnote>
  <w:footnote w:id="1">
    <w:p w:rsidR="004A0A64" w:rsidRPr="000966CA" w:rsidRDefault="004A0A6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02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8242-2B53-43F1-9688-FD429ADA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24</Pages>
  <Words>11390</Words>
  <Characters>83636</Characters>
  <Application>Microsoft Office Word</Application>
  <DocSecurity>0</DocSecurity>
  <Lines>696</Lines>
  <Paragraphs>189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94837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41</cp:revision>
  <cp:lastPrinted>2023-05-12T05:07:00Z</cp:lastPrinted>
  <dcterms:created xsi:type="dcterms:W3CDTF">2022-12-02T12:40:00Z</dcterms:created>
  <dcterms:modified xsi:type="dcterms:W3CDTF">2023-05-12T05:22:00Z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