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FF" w:rsidRPr="000428D3" w:rsidRDefault="00975D1E" w:rsidP="000428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8D3">
        <w:rPr>
          <w:rFonts w:ascii="Times New Roman" w:hAnsi="Times New Roman" w:cs="Times New Roman"/>
          <w:b/>
          <w:sz w:val="20"/>
          <w:szCs w:val="20"/>
        </w:rPr>
        <w:t>Протокол разногласий</w:t>
      </w:r>
      <w:r w:rsidR="000E3188" w:rsidRPr="000428D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75D1E" w:rsidRPr="000428D3" w:rsidRDefault="00242A7D" w:rsidP="000428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8D3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A07C1A" w:rsidRPr="000428D3">
        <w:rPr>
          <w:rFonts w:ascii="Times New Roman" w:hAnsi="Times New Roman" w:cs="Times New Roman"/>
          <w:b/>
          <w:sz w:val="20"/>
          <w:szCs w:val="20"/>
        </w:rPr>
        <w:t>Д</w:t>
      </w:r>
      <w:r w:rsidR="00E92C12" w:rsidRPr="000428D3">
        <w:rPr>
          <w:rFonts w:ascii="Times New Roman" w:hAnsi="Times New Roman" w:cs="Times New Roman"/>
          <w:b/>
          <w:sz w:val="20"/>
          <w:szCs w:val="20"/>
        </w:rPr>
        <w:t xml:space="preserve">оговору </w:t>
      </w:r>
      <w:r w:rsidR="00A07C1A" w:rsidRPr="000428D3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911711" w:rsidRPr="000428D3">
        <w:rPr>
          <w:rFonts w:ascii="Times New Roman" w:hAnsi="Times New Roman" w:cs="Times New Roman"/>
          <w:b/>
          <w:sz w:val="20"/>
          <w:szCs w:val="20"/>
        </w:rPr>
        <w:t>220-21н</w:t>
      </w:r>
    </w:p>
    <w:p w:rsidR="00A07C1A" w:rsidRPr="000428D3" w:rsidRDefault="00911711" w:rsidP="000428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8D3">
        <w:rPr>
          <w:rFonts w:ascii="Times New Roman" w:hAnsi="Times New Roman" w:cs="Times New Roman"/>
          <w:b/>
          <w:sz w:val="20"/>
          <w:szCs w:val="20"/>
        </w:rPr>
        <w:t>на оказание услуг по передаче права использования программы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</w:t>
      </w:r>
    </w:p>
    <w:p w:rsidR="00FC09AD" w:rsidRPr="000428D3" w:rsidRDefault="00FC09AD" w:rsidP="00042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253"/>
        <w:gridCol w:w="4252"/>
      </w:tblGrid>
      <w:tr w:rsidR="00351A37" w:rsidRPr="000428D3" w:rsidTr="00A07C1A">
        <w:trPr>
          <w:trHeight w:val="609"/>
        </w:trPr>
        <w:tc>
          <w:tcPr>
            <w:tcW w:w="1985" w:type="dxa"/>
            <w:vAlign w:val="center"/>
          </w:tcPr>
          <w:p w:rsidR="00351A37" w:rsidRPr="000428D3" w:rsidRDefault="00351A37" w:rsidP="000428D3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№ пункта </w:t>
            </w:r>
            <w:r w:rsidR="00E92C12" w:rsidRPr="000428D3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4252" w:type="dxa"/>
            <w:vAlign w:val="center"/>
          </w:tcPr>
          <w:p w:rsidR="00351A37" w:rsidRPr="000428D3" w:rsidRDefault="00351A37" w:rsidP="000428D3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Редакция </w:t>
            </w:r>
            <w:r w:rsidR="00D84F6D" w:rsidRPr="000428D3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  <w:tc>
          <w:tcPr>
            <w:tcW w:w="4253" w:type="dxa"/>
            <w:vAlign w:val="center"/>
          </w:tcPr>
          <w:p w:rsidR="00351A37" w:rsidRPr="000428D3" w:rsidRDefault="00351A37" w:rsidP="000428D3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Редакция </w:t>
            </w:r>
            <w:r w:rsidR="00B06607" w:rsidRPr="000428D3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</w:p>
        </w:tc>
        <w:tc>
          <w:tcPr>
            <w:tcW w:w="4252" w:type="dxa"/>
            <w:vAlign w:val="center"/>
          </w:tcPr>
          <w:p w:rsidR="00351A37" w:rsidRPr="000428D3" w:rsidRDefault="00351A37" w:rsidP="00042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911711" w:rsidRPr="000428D3" w:rsidTr="00A07C1A">
        <w:trPr>
          <w:trHeight w:val="609"/>
        </w:trPr>
        <w:tc>
          <w:tcPr>
            <w:tcW w:w="1985" w:type="dxa"/>
          </w:tcPr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Пункт 2.1</w:t>
            </w:r>
          </w:p>
        </w:tc>
        <w:tc>
          <w:tcPr>
            <w:tcW w:w="4252" w:type="dxa"/>
          </w:tcPr>
          <w:p w:rsidR="00911711" w:rsidRPr="000428D3" w:rsidRDefault="00911711" w:rsidP="000428D3">
            <w:pPr>
              <w:tabs>
                <w:tab w:val="left" w:pos="253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2.1. Цена настоящего договора составляет 331 000 (триста тридцать одна тысяча) рублей 00 копеек и включает трудозатраты, затраты на средства для оказания услуг, НДС - 12 333,36 руб., стоимость материалов и средств, необходимых для оказания услуг, транспортные расходы,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конечной.</w:t>
            </w:r>
            <w:r w:rsidRPr="000428D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ab/>
            </w:r>
          </w:p>
        </w:tc>
        <w:tc>
          <w:tcPr>
            <w:tcW w:w="4253" w:type="dxa"/>
          </w:tcPr>
          <w:p w:rsidR="00911711" w:rsidRPr="000428D3" w:rsidRDefault="00911711" w:rsidP="000428D3">
            <w:pPr>
              <w:tabs>
                <w:tab w:val="left" w:pos="253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2.1. Цена настоящего договора составляет 331 000 (триста тридцать одна тысяча) рублей 00 копеек и включает трудозатраты, затраты на средства для оказания услуг, НДС - 12 333,</w:t>
            </w:r>
            <w:r w:rsidRPr="000428D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33</w:t>
            </w:r>
            <w:r w:rsidRPr="000428D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руб., стоимость материалов и средств, необходимых для оказания услуг, транспортные расходы,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конечной.</w:t>
            </w:r>
            <w:r w:rsidRPr="000428D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ab/>
            </w:r>
          </w:p>
        </w:tc>
        <w:tc>
          <w:tcPr>
            <w:tcW w:w="4252" w:type="dxa"/>
          </w:tcPr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Просим принять в редакции Исполнителя в соответствии с заявкой на участие в запросе котировок.</w:t>
            </w:r>
          </w:p>
        </w:tc>
      </w:tr>
      <w:tr w:rsidR="00911711" w:rsidRPr="000428D3" w:rsidTr="00A07C1A">
        <w:trPr>
          <w:trHeight w:val="609"/>
        </w:trPr>
        <w:tc>
          <w:tcPr>
            <w:tcW w:w="1985" w:type="dxa"/>
          </w:tcPr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Приложение № 1, Спецификация</w:t>
            </w:r>
          </w:p>
        </w:tc>
        <w:tc>
          <w:tcPr>
            <w:tcW w:w="4252" w:type="dxa"/>
            <w:vAlign w:val="center"/>
          </w:tcPr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соответствии с приложением № 1 к настоящему протоколу разногласий.</w:t>
            </w:r>
          </w:p>
        </w:tc>
        <w:tc>
          <w:tcPr>
            <w:tcW w:w="4252" w:type="dxa"/>
          </w:tcPr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Просим принять в редакции Исполнителя соответствии с приложением № 1 к настоящему протоколу разногласий.</w:t>
            </w:r>
          </w:p>
        </w:tc>
      </w:tr>
      <w:tr w:rsidR="00911711" w:rsidRPr="000428D3" w:rsidTr="00A07C1A">
        <w:trPr>
          <w:trHeight w:val="609"/>
        </w:trPr>
        <w:tc>
          <w:tcPr>
            <w:tcW w:w="1985" w:type="dxa"/>
          </w:tcPr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5A18AD" w:rsidRPr="0004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18AD" w:rsidRPr="000428D3">
              <w:rPr>
                <w:rFonts w:ascii="Times New Roman" w:hAnsi="Times New Roman" w:cs="Times New Roman"/>
                <w:sz w:val="20"/>
                <w:szCs w:val="20"/>
              </w:rPr>
              <w:t>Приложение № 3 (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Сублицензионны</w:t>
            </w:r>
            <w:r w:rsidR="005A18AD" w:rsidRPr="000428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5A18AD" w:rsidRPr="000428D3">
              <w:rPr>
                <w:rFonts w:ascii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4252" w:type="dxa"/>
            <w:vAlign w:val="center"/>
          </w:tcPr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Отсутству</w:t>
            </w:r>
            <w:r w:rsidR="005A18AD" w:rsidRPr="000428D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т в редакции Заказчика.</w:t>
            </w:r>
          </w:p>
        </w:tc>
        <w:tc>
          <w:tcPr>
            <w:tcW w:w="4253" w:type="dxa"/>
            <w:vAlign w:val="center"/>
          </w:tcPr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соответствии с приложени</w:t>
            </w:r>
            <w:r w:rsidR="000428D3" w:rsidRPr="000428D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ями</w:t>
            </w:r>
            <w:r w:rsidRPr="000428D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№ 2 </w:t>
            </w:r>
            <w:r w:rsidR="000428D3" w:rsidRPr="000428D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 № 3</w:t>
            </w:r>
            <w:r w:rsidRPr="000428D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 настоящему протоколу разногласий.</w:t>
            </w:r>
            <w:bookmarkStart w:id="0" w:name="_GoBack"/>
            <w:bookmarkEnd w:id="0"/>
          </w:p>
        </w:tc>
        <w:tc>
          <w:tcPr>
            <w:tcW w:w="4252" w:type="dxa"/>
          </w:tcPr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На основании заявки участника запроса котировок и предмета договора Исполнитель должен предоставить лицензию на право использования СКЗИ</w:t>
            </w:r>
            <w:r w:rsidR="000428D3"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программу для ЭВМ для работы в сервисе реализации взаимодействия Заказчика с УЦ при выпуске одного квалифицированного СКПЭП для работы во внешних информационных системах</w:t>
            </w:r>
          </w:p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Статья 1235 Гражданского кодекса РФ обязывает заключать специальный договор при передаче права использования результата интеллектуальной деятельности.</w:t>
            </w:r>
          </w:p>
          <w:p w:rsidR="000428D3" w:rsidRPr="000428D3" w:rsidRDefault="000428D3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Также, согласно требованиям Технического задания, «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должен заключить с Заказчиком лицензионный/сублицензионный 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на передачу права использования программы для ЭВМ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Таким образом, для соблюдения установленных Заказчиком условий, Заказчику необходимо в качестве приложения к Договору подписать соответствующи</w:t>
            </w:r>
            <w:r w:rsidR="000428D3" w:rsidRPr="000428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 Сублицензионны</w:t>
            </w:r>
            <w:r w:rsidR="000428D3" w:rsidRPr="000428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0428D3"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ы: на право использования СКЗИ и </w:t>
            </w:r>
            <w:r w:rsidR="000428D3" w:rsidRPr="000428D3">
              <w:rPr>
                <w:rFonts w:ascii="Times New Roman" w:hAnsi="Times New Roman" w:cs="Times New Roman"/>
                <w:sz w:val="20"/>
                <w:szCs w:val="20"/>
              </w:rPr>
              <w:t>на право использования программы для ЭВМ «Кабинет УЦ»</w:t>
            </w:r>
            <w:r w:rsidR="000428D3" w:rsidRPr="000428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711" w:rsidRPr="000428D3" w:rsidRDefault="00911711" w:rsidP="000428D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Просим принять в редакции Исполнителя соответствии с приложени</w:t>
            </w:r>
            <w:r w:rsidR="000428D3" w:rsidRPr="000428D3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="000428D3"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 и № 3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настоящему протоколу разногласий.</w:t>
            </w:r>
          </w:p>
        </w:tc>
      </w:tr>
    </w:tbl>
    <w:p w:rsidR="00E92C12" w:rsidRPr="000428D3" w:rsidRDefault="00E92C12" w:rsidP="000428D3">
      <w:pPr>
        <w:pStyle w:val="a9"/>
        <w:tabs>
          <w:tab w:val="left" w:pos="900"/>
          <w:tab w:val="left" w:pos="1080"/>
        </w:tabs>
        <w:spacing w:after="0"/>
        <w:jc w:val="right"/>
        <w:rPr>
          <w:color w:val="000000"/>
          <w:sz w:val="20"/>
        </w:rPr>
      </w:pPr>
    </w:p>
    <w:p w:rsidR="00C0043B" w:rsidRPr="000428D3" w:rsidRDefault="00C0043B" w:rsidP="000428D3">
      <w:pPr>
        <w:pStyle w:val="a9"/>
        <w:tabs>
          <w:tab w:val="left" w:pos="900"/>
          <w:tab w:val="left" w:pos="1080"/>
        </w:tabs>
        <w:spacing w:after="0"/>
        <w:jc w:val="right"/>
        <w:rPr>
          <w:color w:val="000000"/>
          <w:sz w:val="20"/>
        </w:rPr>
        <w:sectPr w:rsidR="00C0043B" w:rsidRPr="000428D3" w:rsidSect="00E92C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0661" w:rsidRPr="000428D3" w:rsidRDefault="002F0661" w:rsidP="000428D3">
      <w:pPr>
        <w:pStyle w:val="a9"/>
        <w:tabs>
          <w:tab w:val="left" w:pos="900"/>
          <w:tab w:val="left" w:pos="1080"/>
        </w:tabs>
        <w:spacing w:after="0"/>
        <w:jc w:val="right"/>
        <w:rPr>
          <w:color w:val="000000"/>
          <w:sz w:val="20"/>
        </w:rPr>
      </w:pPr>
    </w:p>
    <w:p w:rsidR="00B836BF" w:rsidRPr="000428D3" w:rsidRDefault="00B836BF" w:rsidP="000428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428D3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B836BF" w:rsidRPr="000428D3" w:rsidRDefault="00B836BF" w:rsidP="00042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1711" w:rsidRPr="000428D3" w:rsidRDefault="00911711" w:rsidP="000428D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428D3">
        <w:rPr>
          <w:rFonts w:ascii="Times New Roman" w:hAnsi="Times New Roman" w:cs="Times New Roman"/>
          <w:b/>
          <w:sz w:val="20"/>
          <w:szCs w:val="20"/>
        </w:rPr>
        <w:t>Спецификация</w:t>
      </w:r>
    </w:p>
    <w:p w:rsidR="00911711" w:rsidRPr="000428D3" w:rsidRDefault="00911711" w:rsidP="000428D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709"/>
        <w:gridCol w:w="708"/>
        <w:gridCol w:w="1134"/>
        <w:gridCol w:w="1276"/>
        <w:gridCol w:w="1205"/>
        <w:gridCol w:w="1488"/>
      </w:tblGrid>
      <w:tr w:rsidR="00911711" w:rsidRPr="000428D3" w:rsidTr="00911711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ед.,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с НДС, руб.</w:t>
            </w:r>
          </w:p>
        </w:tc>
      </w:tr>
      <w:tr w:rsidR="00911711" w:rsidRPr="000428D3" w:rsidTr="00911711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Право использования программы для ЭВМ для работы в сервисе для реализации взаимодействия Заказчика с УЦ  при выпуске одного сертификата для работы во внешних информационных системах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АО «ПФ «СКБ Контур»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200 000,00</w:t>
            </w:r>
          </w:p>
        </w:tc>
      </w:tr>
      <w:tr w:rsidR="00911711" w:rsidRPr="000428D3" w:rsidTr="00911711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Лицензия на право использования СКЗИ "КриптоПро CSP" в составе СКПЭП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ООО «Крипто-Про»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53 000,00</w:t>
            </w:r>
          </w:p>
        </w:tc>
      </w:tr>
      <w:tr w:rsidR="00911711" w:rsidRPr="000428D3" w:rsidTr="00911711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Оказание услуг по изготовлению сертификата администратора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ООО «Сертум-Про»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3 000,00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24 000,00</w:t>
            </w:r>
          </w:p>
        </w:tc>
      </w:tr>
      <w:tr w:rsidR="00911711" w:rsidRPr="000428D3" w:rsidTr="00911711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Лицензия на право использования СКЗИ «КриптоПро</w:t>
            </w:r>
            <w:r w:rsidRPr="000428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CSP</w:t>
            </w: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» в составе сертификата ключа администратора КЦР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ООО «Крипто-Про»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4 000,00</w:t>
            </w:r>
          </w:p>
        </w:tc>
      </w:tr>
      <w:tr w:rsidR="00911711" w:rsidRPr="000428D3" w:rsidTr="00911711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Консультационные услуги по подготовке и настройке АРМ администратора КЦР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ООО «Сертум-Про»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50 000,00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11" w:rsidRPr="000428D3" w:rsidRDefault="00911711" w:rsidP="000428D3">
            <w:pPr>
              <w:pStyle w:val="af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50 000,00</w:t>
            </w:r>
          </w:p>
        </w:tc>
      </w:tr>
      <w:tr w:rsidR="00911711" w:rsidRPr="000428D3" w:rsidTr="00911711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11" w:rsidRPr="000428D3" w:rsidRDefault="00911711" w:rsidP="0004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ИТОГО (цена договора):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331 000,00</w:t>
            </w:r>
          </w:p>
        </w:tc>
      </w:tr>
      <w:tr w:rsidR="00911711" w:rsidRPr="000428D3" w:rsidTr="00911711">
        <w:trPr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11" w:rsidRPr="000428D3" w:rsidRDefault="00911711" w:rsidP="000428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sz w:val="20"/>
                <w:szCs w:val="20"/>
              </w:rPr>
              <w:t>В т.ч. НДС (если участник закупки является плательщиком НДС)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711" w:rsidRPr="000428D3" w:rsidRDefault="00911711" w:rsidP="0004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</w:rPr>
              <w:t>12 333,</w:t>
            </w:r>
            <w:r w:rsidRPr="000428D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33</w:t>
            </w:r>
          </w:p>
          <w:p w:rsidR="00911711" w:rsidRPr="000428D3" w:rsidRDefault="00911711" w:rsidP="0004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8D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Стоимость права использования программы для ЭВМ, внесенной в единый реестр российских программ для электронных вычислительных машин и баз данных, НДС не облагается на основании подпункта 26 пункта 2 статьи 149 Налогового кодекса Российской Федерации.</w:t>
            </w:r>
          </w:p>
        </w:tc>
      </w:tr>
    </w:tbl>
    <w:p w:rsidR="00911711" w:rsidRPr="000428D3" w:rsidRDefault="00911711" w:rsidP="000428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711" w:rsidRPr="000428D3" w:rsidRDefault="00911711" w:rsidP="000428D3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8D3">
        <w:rPr>
          <w:rFonts w:ascii="Times New Roman" w:eastAsia="Calibri" w:hAnsi="Times New Roman" w:cs="Times New Roman"/>
          <w:sz w:val="20"/>
          <w:szCs w:val="20"/>
        </w:rPr>
        <w:t xml:space="preserve">Право использования программы для ЭВМ (лицензия) и оказание услуг товаром не являются. </w:t>
      </w:r>
    </w:p>
    <w:p w:rsidR="00911711" w:rsidRPr="000428D3" w:rsidRDefault="00911711" w:rsidP="000428D3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8D3">
        <w:rPr>
          <w:rFonts w:ascii="Times New Roman" w:eastAsia="Calibri" w:hAnsi="Times New Roman" w:cs="Times New Roman"/>
          <w:sz w:val="20"/>
          <w:szCs w:val="20"/>
        </w:rPr>
        <w:t>Программа для ЭВМ «АС «Кабинет УЦ» внесена в Единый реестр российских программ для электронных вычислительных машин и баз данных рег. номер 8912</w:t>
      </w:r>
    </w:p>
    <w:p w:rsidR="00911711" w:rsidRPr="000428D3" w:rsidRDefault="00911711" w:rsidP="000428D3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28D3">
        <w:rPr>
          <w:rFonts w:ascii="Times New Roman" w:eastAsia="Calibri" w:hAnsi="Times New Roman" w:cs="Times New Roman"/>
          <w:sz w:val="20"/>
          <w:szCs w:val="20"/>
        </w:rPr>
        <w:t>Средство криптографической защиты информации «КриптоПро CSP» внесено в единый реестр российских программ для электронных вычислительных машин и баз данных 29.04.2016 и 29.03.2018, регистрационный номер 515 и 4332.</w:t>
      </w:r>
    </w:p>
    <w:p w:rsidR="00771C05" w:rsidRPr="000428D3" w:rsidRDefault="00771C05" w:rsidP="000428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28D3">
        <w:rPr>
          <w:rFonts w:ascii="Times New Roman" w:hAnsi="Times New Roman" w:cs="Times New Roman"/>
          <w:sz w:val="20"/>
          <w:szCs w:val="20"/>
        </w:rPr>
        <w:br w:type="page"/>
      </w:r>
    </w:p>
    <w:p w:rsidR="00771C05" w:rsidRPr="000428D3" w:rsidRDefault="00771C05" w:rsidP="000428D3">
      <w:pPr>
        <w:shd w:val="clear" w:color="auto" w:fill="FFFFFF"/>
        <w:tabs>
          <w:tab w:val="left" w:pos="1152"/>
        </w:tabs>
        <w:spacing w:after="0" w:line="240" w:lineRule="auto"/>
        <w:ind w:left="5229" w:right="48" w:firstLine="115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28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  <w:r w:rsidR="00B836BF" w:rsidRPr="000428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Pr="000428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8D4A42" w:rsidRPr="000428D3" w:rsidRDefault="008D4A42" w:rsidP="000428D3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0428D3">
        <w:rPr>
          <w:rFonts w:ascii="Times New Roman" w:hAnsi="Times New Roman"/>
          <w:b/>
          <w:sz w:val="20"/>
          <w:szCs w:val="20"/>
        </w:rPr>
        <w:t>Сублицензионный договор № ________________</w:t>
      </w:r>
    </w:p>
    <w:p w:rsidR="008D4A42" w:rsidRPr="000428D3" w:rsidRDefault="008D4A42" w:rsidP="000428D3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0428D3">
        <w:rPr>
          <w:rFonts w:ascii="Times New Roman" w:hAnsi="Times New Roman"/>
          <w:b/>
          <w:sz w:val="20"/>
          <w:szCs w:val="20"/>
        </w:rPr>
        <w:t>на право использования программы для ЭВМ «Кабинет УЦ»</w:t>
      </w:r>
    </w:p>
    <w:p w:rsidR="008D4A42" w:rsidRPr="000428D3" w:rsidRDefault="008D4A42" w:rsidP="000428D3">
      <w:pPr>
        <w:pStyle w:val="ConsPlusNormal"/>
        <w:jc w:val="center"/>
        <w:rPr>
          <w:rFonts w:ascii="Times New Roman" w:hAnsi="Times New Roman"/>
          <w:sz w:val="20"/>
          <w:szCs w:val="20"/>
        </w:rPr>
      </w:pPr>
    </w:p>
    <w:p w:rsidR="008D4A42" w:rsidRPr="000428D3" w:rsidRDefault="008D4A42" w:rsidP="00042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A42" w:rsidRPr="000428D3" w:rsidRDefault="008D4A42" w:rsidP="00042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Сублицензионный договор является офертой ООО «Сертум-ПРО» (Лицензиата) (далее – Исполнитель) Пользователю (Сублицензиату) (далее – Заказчик). Сублицензионный договор признается заключенным с момента его акцепта Заказчиком. Под акцептом в целях настоящего Сублицензионного договора понимается факт подписания </w:t>
      </w:r>
      <w:r w:rsidRPr="000428D3">
        <w:rPr>
          <w:rFonts w:ascii="Times New Roman" w:hAnsi="Times New Roman" w:cs="Times New Roman"/>
          <w:b/>
          <w:sz w:val="20"/>
          <w:szCs w:val="20"/>
        </w:rPr>
        <w:t>Договора № 220-21н</w:t>
      </w:r>
      <w:r w:rsidRPr="000428D3">
        <w:rPr>
          <w:rFonts w:ascii="Times New Roman" w:hAnsi="Times New Roman" w:cs="Times New Roman"/>
          <w:bCs/>
          <w:sz w:val="20"/>
          <w:szCs w:val="20"/>
        </w:rPr>
        <w:t>.</w:t>
      </w:r>
    </w:p>
    <w:p w:rsidR="008D4A42" w:rsidRPr="000428D3" w:rsidRDefault="008D4A42" w:rsidP="000428D3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28D3">
        <w:rPr>
          <w:rFonts w:ascii="Times New Roman" w:hAnsi="Times New Roman" w:cs="Times New Roman"/>
          <w:b/>
          <w:bCs/>
          <w:sz w:val="20"/>
          <w:szCs w:val="20"/>
        </w:rPr>
        <w:t>Термины и определения</w:t>
      </w:r>
    </w:p>
    <w:p w:rsidR="008D4A42" w:rsidRPr="000428D3" w:rsidRDefault="008D4A42" w:rsidP="000428D3">
      <w:pPr>
        <w:pStyle w:val="a7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i/>
          <w:sz w:val="20"/>
          <w:szCs w:val="20"/>
        </w:rPr>
        <w:t>Автоматизированная система «Кабинет Удостоверяющего центра» (далее − Кабинет УЦ; ИС КЦР по тексту Договора)</w:t>
      </w:r>
      <w:r w:rsidRPr="000428D3">
        <w:rPr>
          <w:rFonts w:ascii="Times New Roman" w:hAnsi="Times New Roman" w:cs="Times New Roman"/>
          <w:sz w:val="20"/>
          <w:szCs w:val="20"/>
        </w:rPr>
        <w:t xml:space="preserve"> – результат интеллектуальной деятельности, программа для ЭВМ, предназначенная для взаимодействия с Удостоверяющим центром в процессе выдачи Сертификатов. Перечень функций Кабинета УЦ определяется п. 2.2 настоящего Сублицензионного договора. Правообладателем является АО «ПФ «СКБ Контур».</w:t>
      </w:r>
    </w:p>
    <w:p w:rsidR="008D4A42" w:rsidRPr="000428D3" w:rsidRDefault="008D4A42" w:rsidP="000428D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28D3">
        <w:rPr>
          <w:rFonts w:ascii="Times New Roman" w:hAnsi="Times New Roman" w:cs="Times New Roman"/>
          <w:b/>
          <w:bCs/>
          <w:sz w:val="20"/>
          <w:szCs w:val="20"/>
        </w:rPr>
        <w:t>Предмет Сублицензионного договора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Предметом настоящего Сублицензионного договора является возмездное предоставление Лицензиатом неисключительных прав использования результата интеллектуальной деятельности «Кабинет УЦ» Сублицензиату на условиях простой (неисключительной) лицензии в пределах, предусмотренных настоящим Сублицензионным договором.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С момента передачи Сублицензиату права использования Кабинета УЦ Сублицензиат через Администратора КЦР и в соответствии с требованиями, установленными Порядком использования сервиса КЦР Кабинета УЦ, вправе осуществлять действия по вручению Сертификатов владельцам сертификатов, выданных Лицензиатом. 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и порядок выдачи </w:t>
      </w:r>
      <w:r w:rsidRPr="000428D3">
        <w:rPr>
          <w:rFonts w:ascii="Times New Roman" w:hAnsi="Times New Roman" w:cs="Times New Roman"/>
          <w:sz w:val="20"/>
          <w:szCs w:val="20"/>
        </w:rPr>
        <w:t>Лицензиатом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Сертификатов для владельцев сертификатов </w:t>
      </w:r>
      <w:r w:rsidRPr="000428D3">
        <w:rPr>
          <w:rFonts w:ascii="Times New Roman" w:hAnsi="Times New Roman" w:cs="Times New Roman"/>
          <w:sz w:val="20"/>
          <w:szCs w:val="20"/>
        </w:rPr>
        <w:t>Сублицензиата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 Регламентом УЦ.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Лицензиат гарантирует выполнение Кабинетом УЦ следующих функций: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Хранение сведений о документах, представленных Сублицензиатом в Удостоверяющий центр для получения сертификата ключа проверки электронной подписи.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Обеспечение потребности заявителя в создании ключа электронной подписи и ключа проверки электронной подписи с помощью средств электронной подписи, установленных на рабочем месте заявителя. 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Информационное взаимодействие между Администратором КЦР и Удостоверяющим центром.</w:t>
      </w:r>
    </w:p>
    <w:p w:rsidR="008D4A42" w:rsidRPr="000428D3" w:rsidRDefault="008D4A42" w:rsidP="000428D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28D3">
        <w:rPr>
          <w:rFonts w:ascii="Times New Roman" w:hAnsi="Times New Roman" w:cs="Times New Roman"/>
          <w:b/>
          <w:bCs/>
          <w:sz w:val="20"/>
          <w:szCs w:val="20"/>
        </w:rPr>
        <w:t>Исключительные права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Кабинет УЦ является результатом интеллектуальной деятельности Исполнителя и защищается законодательством Российской Федерации в области защиты интеллектуальной собственности.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Кабинет УЦ соответствует требованиям законодательства Российской Федерации, в системе не используются никакие элементы в нарушение прав третьих лиц.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Право использования Кабинета УЦ предоставляется только Сублицензиату и исключительно в объеме, установленным настоящим Сублицензионным договором.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Лицензиат информирует Сублицензиата, что в силу статьи 1262 Гражданского кодекса Российской Федерации государственная регистрация прав на Кабинет УЦ не проводилась.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Свидетельство о государственной регистрации прав на Кабинет УЦ официально публикуется на сайте https://kontur.ru.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Кабинет УЦ внесен в единый реестр российских программ для электронных вычислительных машин и баз данных 21.01.2021, регистрационный номер 8912.</w:t>
      </w:r>
    </w:p>
    <w:p w:rsidR="008D4A42" w:rsidRPr="000428D3" w:rsidRDefault="008D4A42" w:rsidP="000428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D4A42" w:rsidRPr="000428D3" w:rsidRDefault="008D4A42" w:rsidP="000428D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8D3">
        <w:rPr>
          <w:rFonts w:ascii="Times New Roman" w:hAnsi="Times New Roman" w:cs="Times New Roman"/>
          <w:b/>
          <w:sz w:val="20"/>
          <w:szCs w:val="20"/>
        </w:rPr>
        <w:t>Условия использования (объем предоставляемых прав)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Право использования Кабинета УЦ предоставляется путем предоставления Сублицензиату доступа к Кабинету УЦ, размещенному на сервере правообладателя.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Необходимым условием использования Кабинета УЦ является наличие у Сублицензиата:</w:t>
      </w:r>
    </w:p>
    <w:p w:rsidR="008D4A42" w:rsidRPr="000428D3" w:rsidRDefault="008D4A42" w:rsidP="00042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– подключения компьютера к Интернету;</w:t>
      </w:r>
    </w:p>
    <w:p w:rsidR="008D4A42" w:rsidRPr="000428D3" w:rsidRDefault="008D4A42" w:rsidP="00042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– действующего сертификата ключа проверки электронной подписи;</w:t>
      </w:r>
    </w:p>
    <w:p w:rsidR="008D4A42" w:rsidRPr="000428D3" w:rsidRDefault="008D4A42" w:rsidP="00042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– средства электронной подписи СКЗИ КриптоПро </w:t>
      </w:r>
      <w:r w:rsidRPr="000428D3">
        <w:rPr>
          <w:rFonts w:ascii="Times New Roman" w:hAnsi="Times New Roman" w:cs="Times New Roman"/>
          <w:sz w:val="20"/>
          <w:szCs w:val="20"/>
          <w:lang w:val="en-US"/>
        </w:rPr>
        <w:t>CSP</w:t>
      </w:r>
      <w:r w:rsidRPr="000428D3">
        <w:rPr>
          <w:rFonts w:ascii="Times New Roman" w:hAnsi="Times New Roman" w:cs="Times New Roman"/>
          <w:sz w:val="20"/>
          <w:szCs w:val="20"/>
        </w:rPr>
        <w:t>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Сублицензиат вправе использовать Кабинет УЦ следующими способами: </w:t>
      </w:r>
    </w:p>
    <w:p w:rsidR="008D4A42" w:rsidRPr="000428D3" w:rsidRDefault="008D4A42" w:rsidP="00042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− круглосуточно получать доступ к серверу, за исключением времени проведения профилактических работ;</w:t>
      </w:r>
    </w:p>
    <w:p w:rsidR="008D4A42" w:rsidRPr="000428D3" w:rsidRDefault="008D4A42" w:rsidP="00042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− использовать все функциональные возможности Кабинета УЦ, указанные в п. 2.3 настоящего Сублицензионного договора;</w:t>
      </w:r>
    </w:p>
    <w:p w:rsidR="008D4A42" w:rsidRPr="000428D3" w:rsidRDefault="008D4A42" w:rsidP="00042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− воспроизводить графическую часть (рабочий интерфейс) на экране персонального компьютера;</w:t>
      </w:r>
    </w:p>
    <w:p w:rsidR="008D4A42" w:rsidRPr="000428D3" w:rsidRDefault="008D4A42" w:rsidP="00042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− не представлять Лицензиату отчеты об использовании Кабинета УЦ.</w:t>
      </w:r>
    </w:p>
    <w:p w:rsidR="008D4A42" w:rsidRPr="000428D3" w:rsidRDefault="008D4A42" w:rsidP="000428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A42" w:rsidRPr="000428D3" w:rsidRDefault="008D4A42" w:rsidP="000428D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8D3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Обязанности Лицензиата: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Обеспечение выполнения Кабинетом УЦ функций, указанных в п. 2.3 настоящего Сублицензионного договора.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tabs>
          <w:tab w:val="left" w:pos="5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Воздержание от каких-либо действий, способных воспрепятствовать нормальному использованию Сублицензиатом Кабинета УЦ.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tabs>
          <w:tab w:val="left" w:pos="5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 конфиденциальности информации, ставшей известной Лицензиату в процессе исполнения настоящего Сублицензионного договора.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tabs>
          <w:tab w:val="left" w:pos="5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организационных и технических мер по защите информации в Кабинете УЦ, соответствующих требованиям нормативных и руководящих документов по обеспечению безопасности персональных данных.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tabs>
          <w:tab w:val="left" w:pos="5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Лицензиата: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tabs>
          <w:tab w:val="left" w:pos="5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и требовать от Сублицензиата лицензионное вознаграждение в соответствии с п. 8.1 настоящего Сублицензионного договора.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tabs>
          <w:tab w:val="left" w:pos="5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Блокировать доступ к Кабинету УЦ при нарушении Сублицензиатом условий настоящего Сублицензионного договора.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tabs>
          <w:tab w:val="left" w:pos="5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использовать Кабинет УЦ всеми законными способами, в том числе предусмотренными п. 4.3. настоящего Сублицензионного договора.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tabs>
          <w:tab w:val="left" w:pos="5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одностороннем порядке вносить изменения и/или дополнения в Регламент УЦ и Порядок использования сервиса КЦР Кабинета УЦ.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Обязанности 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Сублицензиата</w:t>
      </w:r>
      <w:r w:rsidRPr="000428D3">
        <w:rPr>
          <w:rFonts w:ascii="Times New Roman" w:hAnsi="Times New Roman" w:cs="Times New Roman"/>
          <w:sz w:val="20"/>
          <w:szCs w:val="20"/>
        </w:rPr>
        <w:t>: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Оплата лицензионного вознаграждения Лицензиату в порядке и сроки, установленные п. 8.1 настоящего Сублицензионного договора.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Отказ от попыток копировать, модифицировать, декомпилировать, дезассемблировать, а также от действий, приводящих к нарушению целостности Кабинета УЦ либо иным образом препятствующих его нормальному функционированию.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Самостоятельное обеспечение подключения компьютера к Интернету.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Наличие действующего сертификата ключей проверки электронной подписи и средства электронной подписи СКЗИ «КриптоПро </w:t>
      </w:r>
      <w:r w:rsidRPr="000428D3">
        <w:rPr>
          <w:rFonts w:ascii="Times New Roman" w:hAnsi="Times New Roman" w:cs="Times New Roman"/>
          <w:sz w:val="20"/>
          <w:szCs w:val="20"/>
          <w:lang w:val="en-US"/>
        </w:rPr>
        <w:t>CSP</w:t>
      </w:r>
      <w:r w:rsidRPr="000428D3">
        <w:rPr>
          <w:rFonts w:ascii="Times New Roman" w:hAnsi="Times New Roman" w:cs="Times New Roman"/>
          <w:sz w:val="20"/>
          <w:szCs w:val="20"/>
        </w:rPr>
        <w:t>».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Ознакомление всех владельцев сертификатов до осуществления действий по вручению СКПЭП с условиями Договора, настоящего Сублицензионного договора и сублицензионного договора на использование программы для ЭВМ СКЗИ «КриптоПро».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соблюдение Правил по обеспечению информационной безопасности на рабочем месте.  Ответственность за соблюдение требований правил лежит на 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Сублицензиате</w:t>
      </w:r>
      <w:r w:rsidRPr="000428D3">
        <w:rPr>
          <w:rFonts w:ascii="Times New Roman" w:hAnsi="Times New Roman" w:cs="Times New Roman"/>
          <w:sz w:val="20"/>
          <w:szCs w:val="20"/>
        </w:rPr>
        <w:t>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Права 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Сублицензиата</w:t>
      </w:r>
      <w:r w:rsidRPr="000428D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Получение круглосуточного доступа к серверу, за исключением времени проведения профилактических работ, с целью использования всех функциональных возможностей Кабинета УЦ.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Внесение предложений по изменению функциональных возможностей Кабинета УЦ. Все работы по изменению Кабинета УЦ производятся на основании отдельного возмездного договора.</w:t>
      </w:r>
    </w:p>
    <w:p w:rsidR="008D4A42" w:rsidRPr="000428D3" w:rsidRDefault="008D4A42" w:rsidP="000428D3">
      <w:pPr>
        <w:pStyle w:val="a7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>Получение по запросу копий документов, подтверждающих соответствие Кабинета УЦ требованиям нормативных и руководящих документов по обеспечению безопасности персональных данных.</w:t>
      </w:r>
    </w:p>
    <w:p w:rsidR="008D4A42" w:rsidRPr="000428D3" w:rsidRDefault="008D4A42" w:rsidP="000428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D4A42" w:rsidRPr="000428D3" w:rsidRDefault="008D4A42" w:rsidP="000428D3">
      <w:pPr>
        <w:pStyle w:val="a7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28D3">
        <w:rPr>
          <w:rFonts w:ascii="Times New Roman" w:hAnsi="Times New Roman" w:cs="Times New Roman"/>
          <w:b/>
          <w:bCs/>
          <w:sz w:val="20"/>
          <w:szCs w:val="20"/>
        </w:rPr>
        <w:t xml:space="preserve">Территория действия 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28D3">
        <w:rPr>
          <w:rFonts w:ascii="Times New Roman" w:hAnsi="Times New Roman" w:cs="Times New Roman"/>
          <w:bCs/>
          <w:sz w:val="20"/>
          <w:szCs w:val="20"/>
        </w:rPr>
        <w:t>Настоящий Сублицензионный договор действует на всей территории Российской Федерации.</w:t>
      </w:r>
    </w:p>
    <w:p w:rsidR="008D4A42" w:rsidRPr="000428D3" w:rsidRDefault="008D4A42" w:rsidP="000428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D4A42" w:rsidRPr="000428D3" w:rsidRDefault="008D4A42" w:rsidP="000428D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28D3">
        <w:rPr>
          <w:rFonts w:ascii="Times New Roman" w:hAnsi="Times New Roman" w:cs="Times New Roman"/>
          <w:b/>
          <w:bCs/>
          <w:sz w:val="20"/>
          <w:szCs w:val="20"/>
        </w:rPr>
        <w:t xml:space="preserve">Срок действия 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Настоящий Сублицензионный договор вступает в силу с момента его акцепта и действует в течение срока, установленного </w:t>
      </w:r>
      <w:r w:rsidRPr="000428D3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0428D3">
        <w:rPr>
          <w:rFonts w:ascii="Times New Roman" w:hAnsi="Times New Roman" w:cs="Times New Roman"/>
          <w:b/>
          <w:sz w:val="20"/>
          <w:szCs w:val="20"/>
        </w:rPr>
        <w:t>ом</w:t>
      </w:r>
      <w:r w:rsidRPr="000428D3">
        <w:rPr>
          <w:rFonts w:ascii="Times New Roman" w:hAnsi="Times New Roman" w:cs="Times New Roman"/>
          <w:b/>
          <w:sz w:val="20"/>
          <w:szCs w:val="20"/>
        </w:rPr>
        <w:t xml:space="preserve"> № 220-21н</w:t>
      </w:r>
      <w:r w:rsidRPr="000428D3">
        <w:rPr>
          <w:rFonts w:ascii="Times New Roman" w:hAnsi="Times New Roman" w:cs="Times New Roman"/>
          <w:sz w:val="20"/>
          <w:szCs w:val="20"/>
        </w:rPr>
        <w:t>, а в части исполнения обязательств Сторонами – до полного исполнения.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В случае нарушения 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Сублицензиатом</w:t>
      </w:r>
      <w:r w:rsidRPr="000428D3">
        <w:rPr>
          <w:rFonts w:ascii="Times New Roman" w:hAnsi="Times New Roman" w:cs="Times New Roman"/>
          <w:sz w:val="20"/>
          <w:szCs w:val="20"/>
        </w:rPr>
        <w:t xml:space="preserve"> условий настоящего Сублицензионного договора Лицензиат вправе досрочно расторгнуть настоящий Сублицензионный договор и незамедлительно блокировать доступ к серверу без предварительного уведомления 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Сублицензиата</w:t>
      </w:r>
      <w:r w:rsidRPr="000428D3">
        <w:rPr>
          <w:rFonts w:ascii="Times New Roman" w:hAnsi="Times New Roman" w:cs="Times New Roman"/>
          <w:sz w:val="20"/>
          <w:szCs w:val="20"/>
        </w:rPr>
        <w:t>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Досрочное расторжение настоящего Сублицензионного договора не освобождает 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Сублицензиата</w:t>
      </w:r>
      <w:r w:rsidRPr="000428D3">
        <w:rPr>
          <w:rFonts w:ascii="Times New Roman" w:hAnsi="Times New Roman" w:cs="Times New Roman"/>
          <w:sz w:val="20"/>
          <w:szCs w:val="20"/>
        </w:rPr>
        <w:t xml:space="preserve"> от исполнения обязанности по оплате лицензионного вознаграждения за весь период использования Кабинета УЦ.</w:t>
      </w:r>
    </w:p>
    <w:p w:rsidR="008D4A42" w:rsidRPr="000428D3" w:rsidRDefault="008D4A42" w:rsidP="000428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D4A42" w:rsidRPr="000428D3" w:rsidRDefault="008D4A42" w:rsidP="000428D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28D3">
        <w:rPr>
          <w:rFonts w:ascii="Times New Roman" w:hAnsi="Times New Roman" w:cs="Times New Roman"/>
          <w:b/>
          <w:bCs/>
          <w:sz w:val="20"/>
          <w:szCs w:val="20"/>
        </w:rPr>
        <w:t xml:space="preserve">Финансовые условия </w:t>
      </w:r>
    </w:p>
    <w:p w:rsidR="008D4A42" w:rsidRPr="000428D3" w:rsidRDefault="008D4A42" w:rsidP="000428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8.1.</w:t>
      </w:r>
      <w:r w:rsidRPr="000428D3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ab/>
        <w:t xml:space="preserve">Размер лицензионного вознаграждения за передачу неисключительных прав использования Кабинета УЦ 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порядок оплаты </w:t>
      </w:r>
      <w:r w:rsidRPr="000428D3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устанавлива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0428D3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тся Сторонами в </w:t>
      </w:r>
      <w:r w:rsidRPr="000428D3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0428D3">
        <w:rPr>
          <w:rFonts w:ascii="Times New Roman" w:hAnsi="Times New Roman" w:cs="Times New Roman"/>
          <w:b/>
          <w:sz w:val="20"/>
          <w:szCs w:val="20"/>
        </w:rPr>
        <w:t>е</w:t>
      </w:r>
      <w:r w:rsidRPr="000428D3">
        <w:rPr>
          <w:rFonts w:ascii="Times New Roman" w:hAnsi="Times New Roman" w:cs="Times New Roman"/>
          <w:b/>
          <w:sz w:val="20"/>
          <w:szCs w:val="20"/>
        </w:rPr>
        <w:t xml:space="preserve"> № 220-21н</w:t>
      </w:r>
      <w:r w:rsidRPr="000428D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D4A42" w:rsidRPr="000428D3" w:rsidRDefault="008D4A42" w:rsidP="000428D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D4A42" w:rsidRPr="000428D3" w:rsidRDefault="008D4A42" w:rsidP="000428D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8D3">
        <w:rPr>
          <w:rFonts w:ascii="Times New Roman" w:hAnsi="Times New Roman" w:cs="Times New Roman"/>
          <w:b/>
          <w:sz w:val="20"/>
          <w:szCs w:val="20"/>
        </w:rPr>
        <w:t>Ответственность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Стороны настоящего Сублицензионного договора несут ответственность в соответствии с законодательством Российской Федерации. 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Лицензиат не несет ответственности за прямые или косвенные убытки, включая упущенную выгоду, возникшие в результате применения Кабинета УЦ. 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t xml:space="preserve">Лицензиат не несет ответственности за блокирование доступа к серверу и оперативность работы Кабинета УЦ, возникшие не по вине Лицензиата. 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0428D3">
        <w:rPr>
          <w:rFonts w:ascii="Times New Roman" w:hAnsi="Times New Roman" w:cs="Times New Roman"/>
          <w:sz w:val="20"/>
          <w:szCs w:val="20"/>
        </w:rPr>
        <w:lastRenderedPageBreak/>
        <w:t>Незаконное использование Кабинета УЦ является нарушением законодательства Российской Федерации и преследуется по закону</w:t>
      </w:r>
      <w:r w:rsidRPr="000428D3">
        <w:rPr>
          <w:rFonts w:ascii="Times New Roman" w:hAnsi="Times New Roman" w:cs="Times New Roman"/>
          <w:smallCaps/>
          <w:sz w:val="20"/>
          <w:szCs w:val="20"/>
        </w:rPr>
        <w:t>.</w:t>
      </w:r>
    </w:p>
    <w:p w:rsidR="008D4A42" w:rsidRPr="000428D3" w:rsidRDefault="008D4A42" w:rsidP="000428D3">
      <w:pPr>
        <w:pStyle w:val="a7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 за проверку достоверности информации о владельцах Сертификатов и представление </w:t>
      </w:r>
      <w:r w:rsidRPr="000428D3">
        <w:rPr>
          <w:rFonts w:ascii="Times New Roman" w:hAnsi="Times New Roman" w:cs="Times New Roman"/>
          <w:sz w:val="20"/>
          <w:szCs w:val="20"/>
        </w:rPr>
        <w:t>Лицензиату</w:t>
      </w:r>
      <w:r w:rsidRPr="00042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необходимых для выдачи Сертификатов документов несет Сублицензиат.</w:t>
      </w:r>
    </w:p>
    <w:p w:rsidR="008D4A42" w:rsidRPr="000428D3" w:rsidRDefault="008D4A42" w:rsidP="000428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28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0428D3" w:rsidRPr="000428D3" w:rsidRDefault="000428D3" w:rsidP="000428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428D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Pr="000428D3">
        <w:rPr>
          <w:rFonts w:ascii="Times New Roman" w:hAnsi="Times New Roman" w:cs="Times New Roman"/>
          <w:b/>
          <w:sz w:val="20"/>
          <w:szCs w:val="20"/>
        </w:rPr>
        <w:t>3</w:t>
      </w:r>
    </w:p>
    <w:p w:rsidR="008D4A42" w:rsidRPr="000428D3" w:rsidRDefault="008D4A42" w:rsidP="000428D3">
      <w:pPr>
        <w:shd w:val="clear" w:color="auto" w:fill="FFFFFF"/>
        <w:tabs>
          <w:tab w:val="left" w:pos="1152"/>
        </w:tabs>
        <w:spacing w:after="0" w:line="240" w:lineRule="auto"/>
        <w:ind w:left="5229" w:right="48" w:firstLine="115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4B7A" w:rsidRPr="000428D3" w:rsidRDefault="00B34B7A" w:rsidP="000428D3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0428D3">
        <w:rPr>
          <w:rFonts w:ascii="Times New Roman" w:hAnsi="Times New Roman"/>
          <w:b/>
          <w:sz w:val="20"/>
          <w:szCs w:val="20"/>
        </w:rPr>
        <w:t>СУБЛИЦЕНЗИОННЫЙ ДОГОВОР № ________________</w:t>
      </w:r>
    </w:p>
    <w:p w:rsidR="00B34B7A" w:rsidRPr="000428D3" w:rsidRDefault="00B34B7A" w:rsidP="000428D3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0428D3">
        <w:rPr>
          <w:rFonts w:ascii="Times New Roman" w:hAnsi="Times New Roman"/>
          <w:b/>
          <w:sz w:val="20"/>
          <w:szCs w:val="20"/>
        </w:rPr>
        <w:t>на использование программы для ЭВМ СКЗИ «КриптоПро»</w:t>
      </w:r>
    </w:p>
    <w:p w:rsidR="00B34B7A" w:rsidRPr="000428D3" w:rsidRDefault="00B34B7A" w:rsidP="000428D3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0428D3">
        <w:rPr>
          <w:rFonts w:ascii="Times New Roman" w:hAnsi="Times New Roman"/>
          <w:b/>
          <w:sz w:val="20"/>
          <w:szCs w:val="20"/>
        </w:rPr>
        <w:t>________________</w:t>
      </w:r>
      <w:r w:rsidRPr="000428D3">
        <w:rPr>
          <w:rFonts w:ascii="Times New Roman" w:hAnsi="Times New Roman"/>
          <w:b/>
          <w:sz w:val="20"/>
          <w:szCs w:val="20"/>
        </w:rPr>
        <w:tab/>
        <w:t xml:space="preserve">               ________________</w:t>
      </w:r>
    </w:p>
    <w:p w:rsidR="00B34B7A" w:rsidRPr="000428D3" w:rsidRDefault="00B34B7A" w:rsidP="000428D3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 xml:space="preserve">Сублицензионный договор является офертой между ООО «Сертум-Про» (далее – Лицензиатом) и Пользователем (далее – Сублицензиатом) − физическим или юридическим лицом. Сублицензионный договор признается заключенным с момента его акцепта Сублицензиатом. Под акцептом в целях Сублицензионного договора понимается факт подписания Сублицензиатом </w:t>
      </w:r>
      <w:r w:rsidR="008D4A42" w:rsidRPr="000428D3">
        <w:rPr>
          <w:rFonts w:ascii="Times New Roman" w:hAnsi="Times New Roman"/>
          <w:b/>
          <w:sz w:val="20"/>
          <w:szCs w:val="20"/>
        </w:rPr>
        <w:t>Договора № 220-21н</w:t>
      </w:r>
      <w:r w:rsidRPr="000428D3">
        <w:rPr>
          <w:rFonts w:ascii="Times New Roman" w:hAnsi="Times New Roman"/>
          <w:b/>
          <w:sz w:val="20"/>
          <w:szCs w:val="20"/>
        </w:rPr>
        <w:t>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1. Термины и определения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 xml:space="preserve">1.1. СКЗИ − программа для ЭВМ, средства криптографической защиты информации (средства электронной подписи), включая носители и документацию, или иные программы для ЭВМ, исключительные права на которую принадлежат ООО «Крипто-Про» (далее − Правообладатель). Точное наименование программ устанавливается в Спецификации в случае, если в период действия </w:t>
      </w:r>
      <w:r w:rsidR="00C0043B" w:rsidRPr="000428D3">
        <w:rPr>
          <w:rFonts w:ascii="Times New Roman" w:hAnsi="Times New Roman"/>
          <w:b/>
          <w:sz w:val="20"/>
          <w:szCs w:val="20"/>
        </w:rPr>
        <w:t xml:space="preserve">Договора </w:t>
      </w:r>
      <w:r w:rsidR="008D4A42" w:rsidRPr="000428D3">
        <w:rPr>
          <w:rFonts w:ascii="Times New Roman" w:hAnsi="Times New Roman"/>
          <w:b/>
          <w:sz w:val="20"/>
          <w:szCs w:val="20"/>
        </w:rPr>
        <w:t>№ 220-21н</w:t>
      </w:r>
      <w:r w:rsidR="008D4A42" w:rsidRPr="000428D3">
        <w:rPr>
          <w:rFonts w:ascii="Times New Roman" w:hAnsi="Times New Roman"/>
          <w:sz w:val="20"/>
          <w:szCs w:val="20"/>
        </w:rPr>
        <w:t xml:space="preserve"> </w:t>
      </w:r>
      <w:r w:rsidRPr="000428D3">
        <w:rPr>
          <w:rFonts w:ascii="Times New Roman" w:hAnsi="Times New Roman"/>
          <w:sz w:val="20"/>
          <w:szCs w:val="20"/>
        </w:rPr>
        <w:t>Стороны согласовывают финансовые условия путем подписания Спецификаций, и/или в выставленном Лицензиатом счете.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1.2. Документация − печатные материалы и носители, содержащие документы в электронном виде. Документация является неотъемлемой частью СКЗИ.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1.3. Сертификат ключа – сертификат ключа проверки электронной подписи.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1.4. Бланк лицензии – документ с указанием серийного номера (лицензионного ключа), предоставляющий право использования СКЗИ на одном рабочем месте с указанием срока действия лицензии.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1.5. Лицензия в составе сертификата ключа – программные алгоритмы, встроенные в сертификат ключа, позволяющие активировать СКЗИ, установленное на рабочем месте (или сервере). Не сопровождается бланком лицензии.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2. Предмет Сублицензионного договора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2.1. Предметом Сублицензионного договора является возмездная передача Лицензиатом неисключительных прав использования СКЗИ Сублицензиату (простая (неисключительная) Лицензия). Сублицензиат не имеет права передавать третьим лицам права, принадлежащие ему на основании Сублицензионного договора.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 xml:space="preserve">2.2. Право использования СКЗИ предоставляется только Сублицензиату. 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3. Исключительные права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3.1. СКЗИ является результатом интеллектуальной деятельности Правообладателя и защищается законодательством Российской Федерации об авторском праве.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 xml:space="preserve">3.2. Право использования СКЗИ предоставляется Сублицензиату исключительно в объеме, оговоренном Сублицензионным договором, если нет письменного согласия Правообладателя на иное. 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 xml:space="preserve">3.3. Средство криптографической защиты информации «КриптоПро CSP (версия 4.0) внесено в единый реестр российских программ для электронных вычислительных машин и баз данных 29.04.2016, регистрационный номер 515. 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3.4. Средство криптографической защиты информации «КриптоПро CSP (версия 5.0) внесено в единый реестр российских программ для электронных вычислительных машин и баз данных 29.03.2018, регистрационный номер 4332.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3.5. Лицензия в составе сертификата ключа позволяет Сублицензиату активировать СКЗИ версии 4.0 либо версии 5.0, установленное на рабочем месте (или сервере) Сублицензиата.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4. Условия использования СКЗИ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4.1. Сублицензиат имеет право использовать СКЗИ на одном рабочем месте (или сервере) в соответствии с объемом и типом приобретенных Лицензий, назначением и правилами пользования, изложенными в эксплуатационной документации, следующими способами: хранить и устанавливать СКЗИ в память ЭВМ, воспроизводить СКЗИ путем его записи в память ЭВМ.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4.2. Сублицензиат обязуется не распространять СКЗИ третьим лицам путем продажи, проката, сдачи внаем, предоставления взаймы или иными другими способами отчуждения.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4.3. Сублицензиат не имеет права осуществлять следующую деятельность: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− допускать использование СКЗИ лицами, не имеющими прав на такое использование;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− дизассемблировать (анализировать и исследовать объектный код), декомпилировать (преобразовывать объектный код в исходный текст), адаптировать и модифицировать СКЗИ;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− вносить какие-либо изменения в объектный код программ за исключением тех, которые вносятся средствами, включенными в комплект СКЗИ, и описанными в документации;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− совершать относительно СКЗИ другие действия, нарушающие российские и международные нормы по авторскому праву и использованию программных средств.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5. Территория действия Сублицензионного договора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5.1. Сублицензионный договор действует на всей территории Российской Федерации.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6. Срок действия Сублицензионного договора и передаваемых прав использования (лицензии)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lastRenderedPageBreak/>
        <w:t xml:space="preserve">6.1. Сублицензионный договор вступает в силу с момента его акцепта Сублицензиатом и действует в течение срока, установленного заключенным между Лицензиатом и Сублицензиатом </w:t>
      </w:r>
      <w:r w:rsidR="008D4A42" w:rsidRPr="000428D3">
        <w:rPr>
          <w:rFonts w:ascii="Times New Roman" w:hAnsi="Times New Roman"/>
          <w:b/>
          <w:sz w:val="20"/>
          <w:szCs w:val="20"/>
        </w:rPr>
        <w:t>№ 220-21н</w:t>
      </w:r>
      <w:r w:rsidR="00C0043B" w:rsidRPr="000428D3">
        <w:rPr>
          <w:rFonts w:ascii="Times New Roman" w:hAnsi="Times New Roman"/>
          <w:b/>
          <w:sz w:val="20"/>
          <w:szCs w:val="20"/>
        </w:rPr>
        <w:t>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6.2. Передача бессрочных лицензий осуществляется на весь период действия исключительного права Правообладателя.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6.3. Передача лицензий в составе сертификата ключа осуществляется на срок, указанный в таком сертификате. В случае досрочного прекращения срока действия сертификата ключа по любой причине – досрочно прекращается срок действия лицензии.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6.4. После окончания срока действия сертификата ключа при условии сохранения ключа электронной подписи (закрытого ключа) лицензия в составе сертификата ключа позволяет производить операции расшифрования и проверки электронной подписи.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6.5. В случае нарушения условий Сублицензионного договора или неспособности далее выполнять его условия, все компоненты СКЗИ (включая печатные материалы, магнитные носители, файлы с информацией, архивные копии) должны быть уничтожены, бланки лицензий возвращены.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7. Вознаграждение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 xml:space="preserve">7.1. Сублицензиат уплачивает Лицензиату по Сублицензионному договору вознаграждение в размере и на условиях согласно заключенному между Лицензиатом и Сублицензиатом </w:t>
      </w:r>
      <w:r w:rsidR="008D4A42" w:rsidRPr="000428D3">
        <w:rPr>
          <w:rFonts w:ascii="Times New Roman" w:hAnsi="Times New Roman"/>
          <w:b/>
          <w:sz w:val="20"/>
          <w:szCs w:val="20"/>
        </w:rPr>
        <w:t>№ 220-21н</w:t>
      </w:r>
      <w:r w:rsidR="00C0043B" w:rsidRPr="000428D3">
        <w:rPr>
          <w:rFonts w:ascii="Times New Roman" w:hAnsi="Times New Roman"/>
          <w:b/>
          <w:sz w:val="20"/>
          <w:szCs w:val="20"/>
        </w:rPr>
        <w:t>.</w:t>
      </w:r>
      <w:r w:rsidRPr="000428D3">
        <w:rPr>
          <w:rFonts w:ascii="Times New Roman" w:hAnsi="Times New Roman"/>
          <w:sz w:val="20"/>
          <w:szCs w:val="20"/>
        </w:rPr>
        <w:t>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8. Ответственность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8.1. Сублицензиат приобретает право использования СКЗИ в объеме, оговоренном Сублицензионным договором, и несет ответственность за его использование в соответствии с рекомендациями, изложенными в эксплуатационной документации, и действующим законодательством Российской Федерации.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8.2. Незаконное использование СКЗИ является нарушением законодательства Российской Федерации и преследуется по закону.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9. Гарантии изготовителя (Правообладателя)</w:t>
      </w:r>
    </w:p>
    <w:p w:rsidR="00B34B7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 xml:space="preserve">9.1. Правообладатель СКЗИ гарантирует работоспособность СКЗИ при условии его эксплуатации на оборудовании, соответствующем техническим требованиям, изложенным в эксплуатационной документации, и отсутствия несанкционированного вмешательства в работу СКЗИ на низком уровне.  </w:t>
      </w:r>
    </w:p>
    <w:p w:rsidR="006F0E1A" w:rsidRPr="000428D3" w:rsidRDefault="00B34B7A" w:rsidP="000428D3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 w:rsidRPr="000428D3">
        <w:rPr>
          <w:rFonts w:ascii="Times New Roman" w:hAnsi="Times New Roman"/>
          <w:sz w:val="20"/>
          <w:szCs w:val="20"/>
        </w:rPr>
        <w:t>9.2. Гарантийный срок эксплуатации СКЗИ устанавливается 12 (двенадцать) месяцев с момента установки СКЗИ на рабочем месте пользователя СКЗИ при условии наличия у него лицензии на использование СКЗИ.</w:t>
      </w:r>
    </w:p>
    <w:sectPr w:rsidR="006F0E1A" w:rsidRPr="000428D3" w:rsidSect="00C0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1D" w:rsidRDefault="0015621D" w:rsidP="00242A7D">
      <w:pPr>
        <w:spacing w:after="0" w:line="240" w:lineRule="auto"/>
      </w:pPr>
      <w:r>
        <w:separator/>
      </w:r>
    </w:p>
  </w:endnote>
  <w:endnote w:type="continuationSeparator" w:id="0">
    <w:p w:rsidR="0015621D" w:rsidRDefault="0015621D" w:rsidP="0024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1D" w:rsidRDefault="0015621D" w:rsidP="00242A7D">
      <w:pPr>
        <w:spacing w:after="0" w:line="240" w:lineRule="auto"/>
      </w:pPr>
      <w:r>
        <w:separator/>
      </w:r>
    </w:p>
  </w:footnote>
  <w:footnote w:type="continuationSeparator" w:id="0">
    <w:p w:rsidR="0015621D" w:rsidRDefault="0015621D" w:rsidP="00242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710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C9B4ABD"/>
    <w:multiLevelType w:val="multilevel"/>
    <w:tmpl w:val="644882F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15178B9"/>
    <w:multiLevelType w:val="multilevel"/>
    <w:tmpl w:val="6D942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E170C08"/>
    <w:multiLevelType w:val="multilevel"/>
    <w:tmpl w:val="C4825384"/>
    <w:lvl w:ilvl="0">
      <w:start w:val="2"/>
      <w:numFmt w:val="decimal"/>
      <w:lvlText w:val="%1."/>
      <w:lvlJc w:val="left"/>
      <w:pPr>
        <w:ind w:left="4897" w:hanging="360"/>
      </w:pPr>
      <w:rPr>
        <w:rFonts w:eastAsia="Calibri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i w:val="0"/>
        <w:color w:val="auto"/>
      </w:rPr>
    </w:lvl>
  </w:abstractNum>
  <w:abstractNum w:abstractNumId="4" w15:restartNumberingAfterBreak="0">
    <w:nsid w:val="20CE3578"/>
    <w:multiLevelType w:val="multilevel"/>
    <w:tmpl w:val="CAE0A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3" w:hanging="435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5" w15:restartNumberingAfterBreak="0">
    <w:nsid w:val="228C1810"/>
    <w:multiLevelType w:val="hybridMultilevel"/>
    <w:tmpl w:val="3B626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213DE"/>
    <w:multiLevelType w:val="multilevel"/>
    <w:tmpl w:val="FF703502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Zero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7" w15:restartNumberingAfterBreak="0">
    <w:nsid w:val="4E915DA0"/>
    <w:multiLevelType w:val="hybridMultilevel"/>
    <w:tmpl w:val="1D56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444FF"/>
    <w:multiLevelType w:val="hybridMultilevel"/>
    <w:tmpl w:val="86DC4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C2E50"/>
    <w:multiLevelType w:val="hybridMultilevel"/>
    <w:tmpl w:val="B39AA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352CE"/>
    <w:multiLevelType w:val="multilevel"/>
    <w:tmpl w:val="D792B96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D6116E8"/>
    <w:multiLevelType w:val="multilevel"/>
    <w:tmpl w:val="0C92B7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74029A"/>
    <w:multiLevelType w:val="multilevel"/>
    <w:tmpl w:val="4CEC5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972" w:hanging="432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F62A1B"/>
    <w:multiLevelType w:val="hybridMultilevel"/>
    <w:tmpl w:val="3B74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3C10"/>
    <w:multiLevelType w:val="multilevel"/>
    <w:tmpl w:val="7EFE4E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5" w15:restartNumberingAfterBreak="0">
    <w:nsid w:val="788257A2"/>
    <w:multiLevelType w:val="hybridMultilevel"/>
    <w:tmpl w:val="DC5E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A02E8"/>
    <w:multiLevelType w:val="multilevel"/>
    <w:tmpl w:val="6D942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29"/>
    <w:rsid w:val="00042715"/>
    <w:rsid w:val="000428D3"/>
    <w:rsid w:val="00046E1A"/>
    <w:rsid w:val="0005284F"/>
    <w:rsid w:val="00063304"/>
    <w:rsid w:val="000641E3"/>
    <w:rsid w:val="0007318A"/>
    <w:rsid w:val="00074252"/>
    <w:rsid w:val="0008508A"/>
    <w:rsid w:val="000C0FCF"/>
    <w:rsid w:val="000D2CFB"/>
    <w:rsid w:val="000E3188"/>
    <w:rsid w:val="0011400F"/>
    <w:rsid w:val="00117368"/>
    <w:rsid w:val="001213F3"/>
    <w:rsid w:val="0012369F"/>
    <w:rsid w:val="001437BA"/>
    <w:rsid w:val="00150757"/>
    <w:rsid w:val="00150F5E"/>
    <w:rsid w:val="0015275A"/>
    <w:rsid w:val="001541D9"/>
    <w:rsid w:val="0015621D"/>
    <w:rsid w:val="00187B40"/>
    <w:rsid w:val="001B06DF"/>
    <w:rsid w:val="001B5F65"/>
    <w:rsid w:val="001D4DCD"/>
    <w:rsid w:val="001E653B"/>
    <w:rsid w:val="00200080"/>
    <w:rsid w:val="002016DE"/>
    <w:rsid w:val="002033A2"/>
    <w:rsid w:val="002225E5"/>
    <w:rsid w:val="00242A7D"/>
    <w:rsid w:val="00244780"/>
    <w:rsid w:val="00253A04"/>
    <w:rsid w:val="00254D84"/>
    <w:rsid w:val="00262794"/>
    <w:rsid w:val="002673A6"/>
    <w:rsid w:val="0027341E"/>
    <w:rsid w:val="00273552"/>
    <w:rsid w:val="00274B89"/>
    <w:rsid w:val="0029650D"/>
    <w:rsid w:val="002B0C41"/>
    <w:rsid w:val="002B2884"/>
    <w:rsid w:val="002B66D5"/>
    <w:rsid w:val="002C1B9C"/>
    <w:rsid w:val="002C61F0"/>
    <w:rsid w:val="002C744E"/>
    <w:rsid w:val="002F0661"/>
    <w:rsid w:val="002F357A"/>
    <w:rsid w:val="003130C6"/>
    <w:rsid w:val="003132CA"/>
    <w:rsid w:val="00323919"/>
    <w:rsid w:val="00350AEB"/>
    <w:rsid w:val="00351A37"/>
    <w:rsid w:val="00366C68"/>
    <w:rsid w:val="00374F21"/>
    <w:rsid w:val="00375076"/>
    <w:rsid w:val="00380D89"/>
    <w:rsid w:val="003818AA"/>
    <w:rsid w:val="003878B6"/>
    <w:rsid w:val="003A567E"/>
    <w:rsid w:val="003C5CD9"/>
    <w:rsid w:val="003C670C"/>
    <w:rsid w:val="003C7998"/>
    <w:rsid w:val="003D0959"/>
    <w:rsid w:val="003F23D1"/>
    <w:rsid w:val="0040034D"/>
    <w:rsid w:val="0040433C"/>
    <w:rsid w:val="00404DDB"/>
    <w:rsid w:val="00411275"/>
    <w:rsid w:val="004118D6"/>
    <w:rsid w:val="004146DC"/>
    <w:rsid w:val="00414974"/>
    <w:rsid w:val="00457834"/>
    <w:rsid w:val="00461150"/>
    <w:rsid w:val="00477A96"/>
    <w:rsid w:val="004878C8"/>
    <w:rsid w:val="004A0A32"/>
    <w:rsid w:val="004D0A23"/>
    <w:rsid w:val="004D0E4F"/>
    <w:rsid w:val="004E049C"/>
    <w:rsid w:val="004F5351"/>
    <w:rsid w:val="004F5976"/>
    <w:rsid w:val="0050116D"/>
    <w:rsid w:val="005353A6"/>
    <w:rsid w:val="00542829"/>
    <w:rsid w:val="00546931"/>
    <w:rsid w:val="00547C17"/>
    <w:rsid w:val="00585904"/>
    <w:rsid w:val="005960B2"/>
    <w:rsid w:val="005A0A1E"/>
    <w:rsid w:val="005A18AD"/>
    <w:rsid w:val="005A4ED0"/>
    <w:rsid w:val="005C717B"/>
    <w:rsid w:val="005C738C"/>
    <w:rsid w:val="005D7D67"/>
    <w:rsid w:val="005E04CA"/>
    <w:rsid w:val="005F313E"/>
    <w:rsid w:val="00613A8D"/>
    <w:rsid w:val="00615BD1"/>
    <w:rsid w:val="00625178"/>
    <w:rsid w:val="0062540A"/>
    <w:rsid w:val="00631BC8"/>
    <w:rsid w:val="00635559"/>
    <w:rsid w:val="00637E5A"/>
    <w:rsid w:val="00656782"/>
    <w:rsid w:val="00670CAC"/>
    <w:rsid w:val="0068489A"/>
    <w:rsid w:val="006A32D8"/>
    <w:rsid w:val="006C390F"/>
    <w:rsid w:val="006D4ECB"/>
    <w:rsid w:val="006D6775"/>
    <w:rsid w:val="006E497C"/>
    <w:rsid w:val="006F0E1A"/>
    <w:rsid w:val="006F1E77"/>
    <w:rsid w:val="006F6F1A"/>
    <w:rsid w:val="00711C35"/>
    <w:rsid w:val="00713760"/>
    <w:rsid w:val="007429B4"/>
    <w:rsid w:val="00742FF6"/>
    <w:rsid w:val="00751AB0"/>
    <w:rsid w:val="007639C1"/>
    <w:rsid w:val="007714BD"/>
    <w:rsid w:val="00771C05"/>
    <w:rsid w:val="00771D24"/>
    <w:rsid w:val="0078243E"/>
    <w:rsid w:val="007C66FF"/>
    <w:rsid w:val="007D02E9"/>
    <w:rsid w:val="007E28D9"/>
    <w:rsid w:val="007E4CA9"/>
    <w:rsid w:val="007F1701"/>
    <w:rsid w:val="00802F8F"/>
    <w:rsid w:val="00803E2F"/>
    <w:rsid w:val="00820F02"/>
    <w:rsid w:val="0082248D"/>
    <w:rsid w:val="00847BF7"/>
    <w:rsid w:val="00847CE8"/>
    <w:rsid w:val="00850DA5"/>
    <w:rsid w:val="008703BA"/>
    <w:rsid w:val="00880D3B"/>
    <w:rsid w:val="00881102"/>
    <w:rsid w:val="008950FE"/>
    <w:rsid w:val="00896212"/>
    <w:rsid w:val="008B0A09"/>
    <w:rsid w:val="008D3D7E"/>
    <w:rsid w:val="008D4A42"/>
    <w:rsid w:val="00904E6E"/>
    <w:rsid w:val="0090596B"/>
    <w:rsid w:val="00911711"/>
    <w:rsid w:val="009120C7"/>
    <w:rsid w:val="00921A0C"/>
    <w:rsid w:val="0092321A"/>
    <w:rsid w:val="00944A88"/>
    <w:rsid w:val="00944B04"/>
    <w:rsid w:val="00961429"/>
    <w:rsid w:val="00971C63"/>
    <w:rsid w:val="00975D1E"/>
    <w:rsid w:val="00982DF2"/>
    <w:rsid w:val="0099674F"/>
    <w:rsid w:val="009A6EA3"/>
    <w:rsid w:val="009A6F59"/>
    <w:rsid w:val="009A7E3C"/>
    <w:rsid w:val="009E386A"/>
    <w:rsid w:val="009E4590"/>
    <w:rsid w:val="009F5264"/>
    <w:rsid w:val="00A07C1A"/>
    <w:rsid w:val="00A10ABF"/>
    <w:rsid w:val="00A34CD8"/>
    <w:rsid w:val="00A35DA1"/>
    <w:rsid w:val="00A4642F"/>
    <w:rsid w:val="00A525A9"/>
    <w:rsid w:val="00A5525C"/>
    <w:rsid w:val="00A67D3F"/>
    <w:rsid w:val="00A82312"/>
    <w:rsid w:val="00A87702"/>
    <w:rsid w:val="00AA1619"/>
    <w:rsid w:val="00AA3043"/>
    <w:rsid w:val="00AB1650"/>
    <w:rsid w:val="00AB4B8C"/>
    <w:rsid w:val="00AC3FB0"/>
    <w:rsid w:val="00AC55BF"/>
    <w:rsid w:val="00AC64C7"/>
    <w:rsid w:val="00AE1DEF"/>
    <w:rsid w:val="00AE4574"/>
    <w:rsid w:val="00AF157D"/>
    <w:rsid w:val="00B06607"/>
    <w:rsid w:val="00B103DD"/>
    <w:rsid w:val="00B1065C"/>
    <w:rsid w:val="00B11F64"/>
    <w:rsid w:val="00B26243"/>
    <w:rsid w:val="00B34B7A"/>
    <w:rsid w:val="00B441D5"/>
    <w:rsid w:val="00B50173"/>
    <w:rsid w:val="00B57A53"/>
    <w:rsid w:val="00B70C79"/>
    <w:rsid w:val="00B8089E"/>
    <w:rsid w:val="00B836BF"/>
    <w:rsid w:val="00B9197D"/>
    <w:rsid w:val="00B9202D"/>
    <w:rsid w:val="00B944DC"/>
    <w:rsid w:val="00BB573C"/>
    <w:rsid w:val="00BD48B8"/>
    <w:rsid w:val="00BE50FA"/>
    <w:rsid w:val="00BF58F3"/>
    <w:rsid w:val="00C0043B"/>
    <w:rsid w:val="00C06821"/>
    <w:rsid w:val="00C11B89"/>
    <w:rsid w:val="00C23CCD"/>
    <w:rsid w:val="00C5250E"/>
    <w:rsid w:val="00C95301"/>
    <w:rsid w:val="00CB2A78"/>
    <w:rsid w:val="00CC599D"/>
    <w:rsid w:val="00CD5176"/>
    <w:rsid w:val="00CD517D"/>
    <w:rsid w:val="00CE281D"/>
    <w:rsid w:val="00CF08EB"/>
    <w:rsid w:val="00D07BA6"/>
    <w:rsid w:val="00D151D7"/>
    <w:rsid w:val="00D1761C"/>
    <w:rsid w:val="00D244FD"/>
    <w:rsid w:val="00D300F2"/>
    <w:rsid w:val="00D35159"/>
    <w:rsid w:val="00D4076F"/>
    <w:rsid w:val="00D65AC1"/>
    <w:rsid w:val="00D83FD6"/>
    <w:rsid w:val="00D84F6D"/>
    <w:rsid w:val="00D94D37"/>
    <w:rsid w:val="00DA1C95"/>
    <w:rsid w:val="00DB6D0D"/>
    <w:rsid w:val="00DC5F0E"/>
    <w:rsid w:val="00DD14FF"/>
    <w:rsid w:val="00DD5E45"/>
    <w:rsid w:val="00DF0E9A"/>
    <w:rsid w:val="00DF690F"/>
    <w:rsid w:val="00E16350"/>
    <w:rsid w:val="00E219E1"/>
    <w:rsid w:val="00E239D9"/>
    <w:rsid w:val="00E33D1C"/>
    <w:rsid w:val="00E52ED0"/>
    <w:rsid w:val="00E533EB"/>
    <w:rsid w:val="00E53A09"/>
    <w:rsid w:val="00E64FF3"/>
    <w:rsid w:val="00E66121"/>
    <w:rsid w:val="00E67327"/>
    <w:rsid w:val="00E842A4"/>
    <w:rsid w:val="00E91063"/>
    <w:rsid w:val="00E92C12"/>
    <w:rsid w:val="00EB2F4E"/>
    <w:rsid w:val="00EB7922"/>
    <w:rsid w:val="00EC315E"/>
    <w:rsid w:val="00EC7B28"/>
    <w:rsid w:val="00EE1194"/>
    <w:rsid w:val="00EF3EC0"/>
    <w:rsid w:val="00EF49F1"/>
    <w:rsid w:val="00F1168E"/>
    <w:rsid w:val="00F32919"/>
    <w:rsid w:val="00F37BE7"/>
    <w:rsid w:val="00F4278F"/>
    <w:rsid w:val="00F62E32"/>
    <w:rsid w:val="00F70D86"/>
    <w:rsid w:val="00F837D4"/>
    <w:rsid w:val="00F904BC"/>
    <w:rsid w:val="00FA1D97"/>
    <w:rsid w:val="00FC09AD"/>
    <w:rsid w:val="00FD79C9"/>
    <w:rsid w:val="00FE3898"/>
    <w:rsid w:val="00FF00A3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2BA2"/>
  <w15:chartTrackingRefBased/>
  <w15:docId w15:val="{54C8537F-6852-4165-A2AF-FA6A4E44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92C12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70CA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C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57A"/>
    <w:rPr>
      <w:rFonts w:ascii="Segoe UI" w:hAnsi="Segoe UI" w:cs="Segoe UI"/>
      <w:sz w:val="18"/>
      <w:szCs w:val="18"/>
    </w:rPr>
  </w:style>
  <w:style w:type="paragraph" w:styleId="a7">
    <w:name w:val="List Paragraph"/>
    <w:aliases w:val="Table-Normal,RSHB_Table-Normal,List Paragraph,Bullet List,FooterText,numbered,UL,Абзац маркированнный,Bullet 1,Use Case List Paragraph,ТЗ список,Paragraphe de liste1,lp1,ДВУХУРОВНЕВЫЙ МАРКИР,SL_Абзац списка,Содержание. 2 уровень"/>
    <w:basedOn w:val="a"/>
    <w:link w:val="a8"/>
    <w:uiPriority w:val="34"/>
    <w:qFormat/>
    <w:rsid w:val="004118D6"/>
    <w:pPr>
      <w:ind w:left="720"/>
      <w:contextualSpacing/>
    </w:pPr>
  </w:style>
  <w:style w:type="paragraph" w:customStyle="1" w:styleId="Standard">
    <w:name w:val="Standard"/>
    <w:rsid w:val="00542829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  <w:style w:type="paragraph" w:customStyle="1" w:styleId="H2">
    <w:name w:val="H2"/>
    <w:basedOn w:val="a"/>
    <w:next w:val="a"/>
    <w:uiPriority w:val="99"/>
    <w:qFormat/>
    <w:rsid w:val="004D0E4F"/>
    <w:pPr>
      <w:keepNext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8">
    <w:name w:val="Абзац списка Знак"/>
    <w:aliases w:val="Table-Normal Знак,RSHB_Table-Normal Знак,List Paragraph Знак,Bullet List Знак,FooterText Знак,numbered Знак,UL Знак,Абзац маркированнный Знак,Bullet 1 Знак,Use Case List Paragraph Знак,ТЗ список Знак,Paragraphe de liste1 Знак,lp1 Знак"/>
    <w:link w:val="a7"/>
    <w:uiPriority w:val="34"/>
    <w:qFormat/>
    <w:rsid w:val="00A4642F"/>
  </w:style>
  <w:style w:type="paragraph" w:customStyle="1" w:styleId="10">
    <w:name w:val="Обычный1"/>
    <w:uiPriority w:val="99"/>
    <w:qFormat/>
    <w:rsid w:val="00A4642F"/>
    <w:pPr>
      <w:suppressAutoHyphens/>
      <w:autoSpaceDE w:val="0"/>
      <w:spacing w:after="0" w:line="240" w:lineRule="auto"/>
      <w:jc w:val="both"/>
    </w:pPr>
    <w:rPr>
      <w:rFonts w:ascii="TimesET" w:eastAsia="Arial" w:hAnsi="TimesET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D84F6D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84F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84F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84F6D"/>
    <w:rPr>
      <w:rFonts w:ascii="Arial" w:eastAsia="Calibri" w:hAnsi="Arial" w:cs="Times New Roman"/>
      <w:lang w:eastAsia="ru-RU"/>
    </w:rPr>
  </w:style>
  <w:style w:type="paragraph" w:customStyle="1" w:styleId="ab">
    <w:name w:val="Таблица"/>
    <w:basedOn w:val="a"/>
    <w:rsid w:val="00D84F6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Нумерованный список1"/>
    <w:basedOn w:val="a"/>
    <w:rsid w:val="00EC315E"/>
    <w:pPr>
      <w:numPr>
        <w:ilvl w:val="1"/>
        <w:numId w:val="9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C3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ody Text Indent"/>
    <w:basedOn w:val="a"/>
    <w:link w:val="ad"/>
    <w:rsid w:val="00E16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163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673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673A6"/>
  </w:style>
  <w:style w:type="paragraph" w:styleId="ae">
    <w:name w:val="Plain Text"/>
    <w:aliases w:val=" Знак,Знак"/>
    <w:basedOn w:val="a"/>
    <w:link w:val="af"/>
    <w:qFormat/>
    <w:rsid w:val="002673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aliases w:val=" Знак Знак,Знак Знак"/>
    <w:basedOn w:val="a0"/>
    <w:link w:val="ae"/>
    <w:rsid w:val="002673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sonormalmrcssattr">
    <w:name w:val="msonormal_mr_css_attr"/>
    <w:basedOn w:val="a"/>
    <w:rsid w:val="00AC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441D5"/>
  </w:style>
  <w:style w:type="paragraph" w:customStyle="1" w:styleId="ConsPlusNonformat">
    <w:name w:val="ConsPlusNonformat"/>
    <w:uiPriority w:val="99"/>
    <w:rsid w:val="004F5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2C12"/>
    <w:rPr>
      <w:rFonts w:ascii="Times New Roman" w:eastAsia="Times New Roman" w:hAnsi="Times New Roman" w:cs="Times New Roman"/>
      <w:bCs/>
      <w:szCs w:val="26"/>
      <w:lang w:val="x-none" w:eastAsia="zh-CN"/>
    </w:rPr>
  </w:style>
  <w:style w:type="paragraph" w:customStyle="1" w:styleId="Normalunindented">
    <w:name w:val="Normal unindented"/>
    <w:rsid w:val="00E92C12"/>
    <w:pPr>
      <w:suppressAutoHyphens/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qFormat/>
    <w:rsid w:val="00820F0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link w:val="af1"/>
    <w:qFormat/>
    <w:rsid w:val="00911711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link w:val="af0"/>
    <w:locked/>
    <w:rsid w:val="009117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8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Евгеньевна</dc:creator>
  <cp:keywords/>
  <dc:description/>
  <cp:lastModifiedBy>Рогова Елена Геннадьевна</cp:lastModifiedBy>
  <cp:revision>105</cp:revision>
  <dcterms:created xsi:type="dcterms:W3CDTF">2018-02-09T04:20:00Z</dcterms:created>
  <dcterms:modified xsi:type="dcterms:W3CDTF">2021-09-24T09:51:00Z</dcterms:modified>
</cp:coreProperties>
</file>