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DF24B8" w:rsidRDefault="00794C52" w:rsidP="00DF24B8">
      <w:pPr>
        <w:ind w:firstLine="567"/>
        <w:jc w:val="both"/>
      </w:pPr>
      <w:r w:rsidRPr="00DF24B8">
        <w:t>В ответ на запрос №</w:t>
      </w:r>
      <w:r w:rsidR="00651148" w:rsidRPr="00DF24B8">
        <w:t xml:space="preserve"> </w:t>
      </w:r>
      <w:r w:rsidR="00DF24B8" w:rsidRPr="00DF24B8">
        <w:t>90684</w:t>
      </w:r>
      <w:r w:rsidRPr="00DF24B8">
        <w:t xml:space="preserve"> от </w:t>
      </w:r>
      <w:r w:rsidR="00BC6B43" w:rsidRPr="00DF24B8">
        <w:t>1</w:t>
      </w:r>
      <w:r w:rsidR="005C5DFC" w:rsidRPr="00DF24B8">
        <w:t>1.</w:t>
      </w:r>
      <w:r w:rsidR="00BC6B43" w:rsidRPr="00DF24B8">
        <w:t>10</w:t>
      </w:r>
      <w:r w:rsidR="005C5DFC" w:rsidRPr="00DF24B8">
        <w:t>.2021</w:t>
      </w:r>
      <w:r w:rsidRPr="00DF24B8">
        <w:t xml:space="preserve">г. </w:t>
      </w:r>
      <w:r w:rsidR="003B13F1" w:rsidRPr="00DF24B8">
        <w:t xml:space="preserve">на разъяснение положений </w:t>
      </w:r>
      <w:r w:rsidR="003B13F1" w:rsidRPr="00DF24B8">
        <w:rPr>
          <w:kern w:val="32"/>
        </w:rPr>
        <w:t xml:space="preserve">Извещения </w:t>
      </w:r>
      <w:r w:rsidR="00C636E9" w:rsidRPr="00DF24B8">
        <w:rPr>
          <w:kern w:val="32"/>
        </w:rPr>
        <w:t>о проведении закупки</w:t>
      </w:r>
      <w:r w:rsidR="000263E0" w:rsidRPr="00DF24B8">
        <w:rPr>
          <w:kern w:val="32"/>
        </w:rPr>
        <w:t xml:space="preserve"> </w:t>
      </w:r>
      <w:r w:rsidR="00DF24B8" w:rsidRPr="00DF24B8">
        <w:rPr>
          <w:kern w:val="32"/>
        </w:rPr>
        <w:t xml:space="preserve">на поставку </w:t>
      </w:r>
      <w:r w:rsidR="00DF24B8" w:rsidRPr="00DF24B8">
        <w:t>наборов реагентов для КЛД</w:t>
      </w:r>
      <w:r w:rsidR="00DF24B8">
        <w:t xml:space="preserve"> </w:t>
      </w:r>
      <w:r w:rsidR="00DF24B8" w:rsidRPr="00DF24B8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DF24B8">
        <w:rPr>
          <w:kern w:val="32"/>
        </w:rPr>
        <w:t xml:space="preserve"> </w:t>
      </w:r>
      <w:r w:rsidR="00DF24B8">
        <w:rPr>
          <w:kern w:val="32"/>
        </w:rPr>
        <w:t xml:space="preserve">             </w:t>
      </w:r>
      <w:r w:rsidR="003B13F1" w:rsidRPr="00DF24B8">
        <w:rPr>
          <w:kern w:val="32"/>
        </w:rPr>
        <w:t xml:space="preserve">№ </w:t>
      </w:r>
      <w:r w:rsidR="00DF24B8" w:rsidRPr="00DF24B8">
        <w:rPr>
          <w:kern w:val="32"/>
        </w:rPr>
        <w:t>239</w:t>
      </w:r>
      <w:r w:rsidR="003B13F1" w:rsidRPr="00DF24B8">
        <w:rPr>
          <w:kern w:val="32"/>
        </w:rPr>
        <w:t>-</w:t>
      </w:r>
      <w:r w:rsidR="00672ED3" w:rsidRPr="00DF24B8">
        <w:rPr>
          <w:kern w:val="32"/>
        </w:rPr>
        <w:t>2</w:t>
      </w:r>
      <w:r w:rsidR="005368ED" w:rsidRPr="00DF24B8">
        <w:rPr>
          <w:kern w:val="32"/>
        </w:rPr>
        <w:t>1</w:t>
      </w:r>
      <w:r w:rsidR="00C636E9" w:rsidRPr="00DF24B8">
        <w:rPr>
          <w:kern w:val="32"/>
        </w:rPr>
        <w:t>н</w:t>
      </w:r>
      <w:r w:rsidR="00155F5D" w:rsidRPr="00DF24B8">
        <w:rPr>
          <w:kern w:val="32"/>
        </w:rPr>
        <w:t xml:space="preserve"> </w:t>
      </w:r>
      <w:r w:rsidR="003B13F1" w:rsidRPr="00DF24B8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12"/>
        <w:gridCol w:w="3119"/>
      </w:tblGrid>
      <w:tr w:rsidR="003917C2" w:rsidRPr="000263E0" w:rsidTr="00DF24B8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912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119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DF24B8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912" w:type="dxa"/>
          </w:tcPr>
          <w:p w:rsidR="00DF24B8" w:rsidRDefault="00DF24B8" w:rsidP="00DF24B8">
            <w:pPr>
              <w:ind w:firstLine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№3: указано требование «Набор красителей для исследования ликвора с реактивом Самсона. Набор рассчитан на 100 определений», однако все наборы с реактивом Самсона отечественных производителей рассчитаны на 200 определений. Просим указать требование к количеству определений в формулировке «Набор рассчитан </w:t>
            </w:r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не менее 100 определений».</w:t>
            </w:r>
          </w:p>
          <w:p w:rsidR="00BC6B43" w:rsidRPr="00DF24B8" w:rsidRDefault="00DF24B8" w:rsidP="00DF24B8">
            <w:pPr>
              <w:ind w:firstLine="284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№4: указано требование «1000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ск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, 500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./билирубин», что является ошибкой Технического задания, т.к. все наборы для клинического анализа кала отечественных производителей рассчитаны на 1000 проб для обнаружения скрытой крови, 50 проб для качественного определения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стеркобилина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, 200 проб для качественного определения билирубина и 2000 проб для проведение микроскопического анализа кала.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Просим указать требование к количеству определений «Не менее 1000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ск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, не менее 200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./билирубин».</w:t>
            </w:r>
            <w:r w:rsidRPr="00DF24B8">
              <w:rPr>
                <w:color w:val="000000"/>
                <w:sz w:val="20"/>
                <w:szCs w:val="20"/>
              </w:rPr>
              <w:br/>
            </w: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№12: указано требование «Тромбин (лиофильно высушенный реагент, 500 ед. NIH)1», из которого непонятно, какое количество флаконов с тромбином должно содержаться в наборе, просим указать количество флаконов. Требование «Растворитель для тромбина, 10,5 мл – не менее 2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фл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» указывает на то, что заказчику нужен реагент для анализатора, однако в характеристиках не указано, </w:t>
            </w:r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какого – автоматического или полуавтоматического. Просим указать тип анализатора.</w:t>
            </w:r>
            <w:r w:rsidRPr="00DF24B8">
              <w:rPr>
                <w:color w:val="000000"/>
                <w:sz w:val="20"/>
                <w:szCs w:val="20"/>
              </w:rPr>
              <w:br/>
            </w: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Согласно требованиям аукционной документации, участник закупки обязан приложить копию регистрационного удостоверения при поставке товара. Сообщаем, что на позицию №14 Технического задания отсутствуют регистрационные удостоверения согласно официальному сайту Росздравнадзора, так как данный товар не относится к изделиям медицинского назначения и не подлежит обязательной государственной регистрации на территории РФ. Просим убрать данное требование к указанной позиции.</w:t>
            </w:r>
          </w:p>
        </w:tc>
        <w:tc>
          <w:tcPr>
            <w:tcW w:w="3119" w:type="dxa"/>
          </w:tcPr>
          <w:p w:rsidR="003D73BD" w:rsidRPr="00DF24B8" w:rsidRDefault="005C5DFC" w:rsidP="00DF24B8">
            <w:pPr>
              <w:rPr>
                <w:sz w:val="20"/>
                <w:szCs w:val="20"/>
              </w:rPr>
            </w:pPr>
            <w:r w:rsidRPr="00DF24B8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="00BC6B43" w:rsidRPr="00DF24B8">
              <w:rPr>
                <w:kern w:val="32"/>
                <w:sz w:val="20"/>
                <w:szCs w:val="20"/>
              </w:rPr>
              <w:t xml:space="preserve"> </w:t>
            </w:r>
            <w:r w:rsidR="00DF24B8" w:rsidRPr="00DF24B8">
              <w:rPr>
                <w:kern w:val="32"/>
                <w:sz w:val="20"/>
                <w:szCs w:val="20"/>
              </w:rPr>
              <w:t xml:space="preserve"> </w:t>
            </w:r>
            <w:r w:rsidR="00DF24B8" w:rsidRPr="00DF24B8">
              <w:rPr>
                <w:kern w:val="32"/>
                <w:sz w:val="20"/>
                <w:szCs w:val="20"/>
              </w:rPr>
              <w:t xml:space="preserve">на поставку </w:t>
            </w:r>
            <w:r w:rsidR="00DF24B8" w:rsidRPr="00DF24B8">
              <w:rPr>
                <w:sz w:val="20"/>
                <w:szCs w:val="20"/>
              </w:rPr>
              <w:t xml:space="preserve">наборов реагентов для КЛД </w:t>
            </w:r>
            <w:r w:rsidR="00DF24B8" w:rsidRPr="00DF24B8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239-21н </w:t>
            </w:r>
            <w:r w:rsidR="00EE1227" w:rsidRPr="00DF24B8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</w:tc>
      </w:tr>
    </w:tbl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DF24B8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2021-10-14T01:16:00Z</cp:lastPrinted>
  <dcterms:created xsi:type="dcterms:W3CDTF">2021-10-14T01:16:00Z</dcterms:created>
  <dcterms:modified xsi:type="dcterms:W3CDTF">2021-10-14T01:16:00Z</dcterms:modified>
</cp:coreProperties>
</file>