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536940" w:rsidTr="00012F0C">
        <w:tc>
          <w:tcPr>
            <w:tcW w:w="4913" w:type="dxa"/>
          </w:tcPr>
          <w:p w:rsidR="004B5B54" w:rsidRPr="00536940" w:rsidRDefault="004B5B54" w:rsidP="00012F0C">
            <w:pPr>
              <w:spacing w:line="276" w:lineRule="auto"/>
              <w:ind w:left="1445" w:right="1313"/>
              <w:jc w:val="center"/>
            </w:pPr>
            <w:r w:rsidRPr="00536940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53694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6940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53694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Ярославского ул., д.  300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г. Иркутск, 664048,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тел./факс (3952) 44-31-30, 44-33-39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  <w:lang w:val="en-US"/>
              </w:rPr>
              <w:t>e</w:t>
            </w:r>
            <w:r w:rsidRPr="00536940">
              <w:rPr>
                <w:sz w:val="22"/>
                <w:szCs w:val="22"/>
              </w:rPr>
              <w:t>-</w:t>
            </w:r>
            <w:r w:rsidRPr="00536940">
              <w:rPr>
                <w:sz w:val="22"/>
                <w:szCs w:val="22"/>
                <w:lang w:val="en-US"/>
              </w:rPr>
              <w:t>mail</w:t>
            </w:r>
            <w:r w:rsidRPr="00536940">
              <w:rPr>
                <w:sz w:val="22"/>
                <w:szCs w:val="22"/>
              </w:rPr>
              <w:t xml:space="preserve">: </w:t>
            </w:r>
            <w:hyperlink r:id="rId6" w:history="1">
              <w:r w:rsidRPr="00536940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536940">
                <w:rPr>
                  <w:rStyle w:val="a5"/>
                  <w:sz w:val="22"/>
                  <w:szCs w:val="22"/>
                </w:rPr>
                <w:t>@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536940">
                <w:rPr>
                  <w:rStyle w:val="a5"/>
                  <w:sz w:val="22"/>
                  <w:szCs w:val="22"/>
                </w:rPr>
                <w:t>38.</w:t>
              </w:r>
              <w:r w:rsidRPr="0053694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536940">
              <w:rPr>
                <w:sz w:val="22"/>
                <w:szCs w:val="22"/>
              </w:rPr>
              <w:t xml:space="preserve">; </w:t>
            </w:r>
            <w:r w:rsidRPr="00536940">
              <w:rPr>
                <w:sz w:val="22"/>
                <w:szCs w:val="22"/>
                <w:lang w:val="en-US"/>
              </w:rPr>
              <w:t>http</w:t>
            </w:r>
            <w:r w:rsidRPr="00536940">
              <w:rPr>
                <w:sz w:val="22"/>
                <w:szCs w:val="22"/>
              </w:rPr>
              <w:t>://</w:t>
            </w:r>
            <w:r w:rsidRPr="00536940">
              <w:rPr>
                <w:sz w:val="22"/>
                <w:szCs w:val="22"/>
                <w:lang w:val="en-US"/>
              </w:rPr>
              <w:t>www</w:t>
            </w:r>
            <w:r w:rsidRPr="00536940">
              <w:rPr>
                <w:sz w:val="22"/>
                <w:szCs w:val="22"/>
              </w:rPr>
              <w:t>.</w:t>
            </w:r>
            <w:r w:rsidRPr="00536940">
              <w:rPr>
                <w:sz w:val="22"/>
                <w:szCs w:val="22"/>
                <w:lang w:val="en-US"/>
              </w:rPr>
              <w:t>gkb</w:t>
            </w:r>
            <w:r w:rsidRPr="00536940">
              <w:rPr>
                <w:sz w:val="22"/>
                <w:szCs w:val="22"/>
              </w:rPr>
              <w:t>8.</w:t>
            </w:r>
            <w:r w:rsidRPr="00536940">
              <w:rPr>
                <w:sz w:val="22"/>
                <w:szCs w:val="22"/>
                <w:lang w:val="en-US"/>
              </w:rPr>
              <w:t>ru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ОКПО</w:t>
            </w:r>
            <w:r w:rsidR="00102531" w:rsidRPr="00536940">
              <w:rPr>
                <w:sz w:val="22"/>
                <w:szCs w:val="22"/>
              </w:rPr>
              <w:t xml:space="preserve"> 05248704</w:t>
            </w:r>
            <w:r w:rsidRPr="00536940">
              <w:rPr>
                <w:sz w:val="22"/>
                <w:szCs w:val="22"/>
              </w:rPr>
              <w:t>; ОГРН 1033801430145</w:t>
            </w:r>
          </w:p>
          <w:p w:rsidR="004B5B54" w:rsidRPr="00536940" w:rsidRDefault="004B5B54" w:rsidP="00012F0C">
            <w:pPr>
              <w:jc w:val="center"/>
            </w:pPr>
            <w:r w:rsidRPr="00536940">
              <w:rPr>
                <w:sz w:val="22"/>
                <w:szCs w:val="22"/>
              </w:rPr>
              <w:t>ИНН/КПП 3810009342/381001001</w:t>
            </w:r>
          </w:p>
          <w:p w:rsidR="00012F0C" w:rsidRPr="00536940" w:rsidRDefault="004B5B54" w:rsidP="00012F0C">
            <w:pPr>
              <w:jc w:val="center"/>
              <w:rPr>
                <w:color w:val="000000"/>
              </w:rPr>
            </w:pPr>
            <w:r w:rsidRPr="00536940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536940" w:rsidRDefault="004B5B54" w:rsidP="00012F0C">
            <w:pPr>
              <w:jc w:val="center"/>
              <w:rPr>
                <w:b/>
                <w:color w:val="000000"/>
              </w:rPr>
            </w:pPr>
            <w:r w:rsidRPr="00536940">
              <w:rPr>
                <w:color w:val="000000"/>
                <w:sz w:val="22"/>
                <w:szCs w:val="22"/>
              </w:rPr>
              <w:t>На № __________</w:t>
            </w:r>
            <w:r w:rsidRPr="00536940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53694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53694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536940" w:rsidRDefault="004B5B54" w:rsidP="00012F0C">
            <w:pPr>
              <w:spacing w:line="276" w:lineRule="auto"/>
              <w:jc w:val="center"/>
            </w:pPr>
          </w:p>
          <w:p w:rsidR="004B5B54" w:rsidRPr="00536940" w:rsidRDefault="004B5B54" w:rsidP="00794C52"/>
        </w:tc>
      </w:tr>
    </w:tbl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p w:rsidR="00316D23" w:rsidRPr="00536940" w:rsidRDefault="00794C52" w:rsidP="00536940">
      <w:pPr>
        <w:tabs>
          <w:tab w:val="left" w:pos="4678"/>
        </w:tabs>
        <w:ind w:firstLine="567"/>
        <w:jc w:val="both"/>
        <w:rPr>
          <w:sz w:val="22"/>
          <w:szCs w:val="22"/>
        </w:rPr>
      </w:pPr>
      <w:r w:rsidRPr="00536940">
        <w:rPr>
          <w:sz w:val="22"/>
          <w:szCs w:val="22"/>
        </w:rPr>
        <w:t>В ответ на запрос №</w:t>
      </w:r>
      <w:r w:rsidR="00223C85">
        <w:rPr>
          <w:sz w:val="22"/>
          <w:szCs w:val="22"/>
        </w:rPr>
        <w:t>90038</w:t>
      </w:r>
      <w:r w:rsidRPr="00536940">
        <w:rPr>
          <w:sz w:val="22"/>
          <w:szCs w:val="22"/>
        </w:rPr>
        <w:t xml:space="preserve"> от </w:t>
      </w:r>
      <w:r w:rsidR="00223C85">
        <w:rPr>
          <w:sz w:val="22"/>
          <w:szCs w:val="22"/>
        </w:rPr>
        <w:t>01</w:t>
      </w:r>
      <w:r w:rsidRPr="00536940">
        <w:rPr>
          <w:sz w:val="22"/>
          <w:szCs w:val="22"/>
        </w:rPr>
        <w:t>.</w:t>
      </w:r>
      <w:r w:rsidR="00223C85">
        <w:rPr>
          <w:sz w:val="22"/>
          <w:szCs w:val="22"/>
        </w:rPr>
        <w:t>04</w:t>
      </w:r>
      <w:r w:rsidR="00703174" w:rsidRPr="00536940">
        <w:rPr>
          <w:sz w:val="22"/>
          <w:szCs w:val="22"/>
        </w:rPr>
        <w:t>.20</w:t>
      </w:r>
      <w:r w:rsidR="00672ED3" w:rsidRPr="00536940">
        <w:rPr>
          <w:sz w:val="22"/>
          <w:szCs w:val="22"/>
        </w:rPr>
        <w:t>2</w:t>
      </w:r>
      <w:r w:rsidR="0073712E" w:rsidRPr="00536940">
        <w:rPr>
          <w:sz w:val="22"/>
          <w:szCs w:val="22"/>
        </w:rPr>
        <w:t>1</w:t>
      </w:r>
      <w:r w:rsidRPr="00536940">
        <w:rPr>
          <w:sz w:val="22"/>
          <w:szCs w:val="22"/>
        </w:rPr>
        <w:t xml:space="preserve">г. </w:t>
      </w:r>
      <w:r w:rsidR="003B13F1" w:rsidRPr="00536940">
        <w:rPr>
          <w:sz w:val="22"/>
          <w:szCs w:val="22"/>
        </w:rPr>
        <w:t xml:space="preserve">на разъяснение положений </w:t>
      </w:r>
      <w:r w:rsidR="003B13F1" w:rsidRPr="00536940">
        <w:rPr>
          <w:kern w:val="32"/>
          <w:sz w:val="22"/>
          <w:szCs w:val="22"/>
        </w:rPr>
        <w:t xml:space="preserve">Извещения о проведении закупки </w:t>
      </w:r>
      <w:r w:rsidR="00223C85" w:rsidRPr="00223C85">
        <w:rPr>
          <w:kern w:val="32"/>
        </w:rPr>
        <w:t>на</w:t>
      </w:r>
      <w:r w:rsidR="00223C85" w:rsidRPr="00223C85">
        <w:t xml:space="preserve"> поставку медицинских расходных материалов (комплекты электродов для ЭКГ)</w:t>
      </w:r>
      <w:r w:rsidR="00536940" w:rsidRPr="00536940">
        <w:rPr>
          <w:kern w:val="32"/>
          <w:sz w:val="22"/>
          <w:szCs w:val="2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536940">
        <w:rPr>
          <w:kern w:val="32"/>
          <w:sz w:val="22"/>
          <w:szCs w:val="22"/>
        </w:rPr>
        <w:t xml:space="preserve"> № </w:t>
      </w:r>
      <w:r w:rsidR="00536940" w:rsidRPr="00536940">
        <w:rPr>
          <w:kern w:val="32"/>
          <w:sz w:val="22"/>
          <w:szCs w:val="22"/>
        </w:rPr>
        <w:t>0</w:t>
      </w:r>
      <w:r w:rsidR="00223C85">
        <w:rPr>
          <w:kern w:val="32"/>
          <w:sz w:val="22"/>
          <w:szCs w:val="22"/>
        </w:rPr>
        <w:t>98</w:t>
      </w:r>
      <w:r w:rsidR="003B13F1" w:rsidRPr="00536940">
        <w:rPr>
          <w:kern w:val="32"/>
          <w:sz w:val="22"/>
          <w:szCs w:val="22"/>
        </w:rPr>
        <w:t>-</w:t>
      </w:r>
      <w:r w:rsidR="00672ED3" w:rsidRPr="00536940">
        <w:rPr>
          <w:kern w:val="32"/>
          <w:sz w:val="22"/>
          <w:szCs w:val="22"/>
        </w:rPr>
        <w:t>2</w:t>
      </w:r>
      <w:r w:rsidR="005368ED" w:rsidRPr="00536940">
        <w:rPr>
          <w:kern w:val="32"/>
          <w:sz w:val="22"/>
          <w:szCs w:val="22"/>
        </w:rPr>
        <w:t>1</w:t>
      </w:r>
      <w:r w:rsidR="003B13F1" w:rsidRPr="00536940">
        <w:rPr>
          <w:sz w:val="22"/>
          <w:szCs w:val="22"/>
        </w:rPr>
        <w:t>(далее – Извещение) сообщаем нижеследующее:</w:t>
      </w:r>
    </w:p>
    <w:p w:rsidR="009A7D27" w:rsidRPr="00536940" w:rsidRDefault="009A7D27" w:rsidP="009A7D27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54"/>
        <w:gridCol w:w="2977"/>
      </w:tblGrid>
      <w:tr w:rsidR="003917C2" w:rsidRPr="00536940" w:rsidTr="00E90BA3">
        <w:tc>
          <w:tcPr>
            <w:tcW w:w="567" w:type="dxa"/>
          </w:tcPr>
          <w:p w:rsidR="003917C2" w:rsidRPr="00536940" w:rsidRDefault="003917C2" w:rsidP="009A7D27">
            <w:r w:rsidRPr="00536940">
              <w:rPr>
                <w:sz w:val="22"/>
                <w:szCs w:val="22"/>
              </w:rPr>
              <w:t xml:space="preserve">№ </w:t>
            </w:r>
            <w:proofErr w:type="gramStart"/>
            <w:r w:rsidRPr="00536940">
              <w:rPr>
                <w:sz w:val="22"/>
                <w:szCs w:val="22"/>
              </w:rPr>
              <w:t>п</w:t>
            </w:r>
            <w:proofErr w:type="gramEnd"/>
            <w:r w:rsidRPr="00536940">
              <w:rPr>
                <w:sz w:val="22"/>
                <w:szCs w:val="22"/>
              </w:rPr>
              <w:t>/п</w:t>
            </w:r>
          </w:p>
        </w:tc>
        <w:tc>
          <w:tcPr>
            <w:tcW w:w="7054" w:type="dxa"/>
          </w:tcPr>
          <w:p w:rsidR="003917C2" w:rsidRPr="00536940" w:rsidRDefault="003917C2" w:rsidP="009A7D27">
            <w:r w:rsidRPr="00536940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2977" w:type="dxa"/>
          </w:tcPr>
          <w:p w:rsidR="003917C2" w:rsidRPr="00536940" w:rsidRDefault="003917C2" w:rsidP="009A7D27">
            <w:pPr>
              <w:jc w:val="both"/>
              <w:rPr>
                <w:bCs/>
              </w:rPr>
            </w:pPr>
            <w:r w:rsidRPr="00536940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536940" w:rsidRDefault="003917C2" w:rsidP="009A7D27"/>
        </w:tc>
      </w:tr>
      <w:tr w:rsidR="003917C2" w:rsidRPr="00536940" w:rsidTr="00E90BA3">
        <w:trPr>
          <w:trHeight w:val="563"/>
        </w:trPr>
        <w:tc>
          <w:tcPr>
            <w:tcW w:w="567" w:type="dxa"/>
          </w:tcPr>
          <w:p w:rsidR="003917C2" w:rsidRPr="00536940" w:rsidRDefault="003917C2" w:rsidP="009A7D27"/>
        </w:tc>
        <w:tc>
          <w:tcPr>
            <w:tcW w:w="7054" w:type="dxa"/>
          </w:tcPr>
          <w:p w:rsidR="00223C85" w:rsidRPr="00223C85" w:rsidRDefault="00223C85" w:rsidP="00223C85">
            <w:pPr>
              <w:rPr>
                <w:sz w:val="20"/>
                <w:szCs w:val="20"/>
              </w:rPr>
            </w:pPr>
            <w:r w:rsidRPr="00223C85">
              <w:rPr>
                <w:sz w:val="20"/>
                <w:szCs w:val="20"/>
              </w:rPr>
              <w:t xml:space="preserve">В </w:t>
            </w:r>
            <w:proofErr w:type="gramStart"/>
            <w:r w:rsidRPr="00223C85">
              <w:rPr>
                <w:sz w:val="20"/>
                <w:szCs w:val="20"/>
              </w:rPr>
              <w:t>п</w:t>
            </w:r>
            <w:proofErr w:type="gramEnd"/>
            <w:r w:rsidRPr="00223C85">
              <w:rPr>
                <w:sz w:val="20"/>
                <w:szCs w:val="20"/>
              </w:rPr>
              <w:t xml:space="preserve">/п 3,4 к поставке требуются взрослые комплекты грудных электродов. Заказчиком при описании требуемых размеров не указаны допуски, либо указаны таким образом, что фактически подходит только один конкретный артикул. </w:t>
            </w:r>
          </w:p>
          <w:p w:rsidR="00223C85" w:rsidRPr="00223C85" w:rsidRDefault="00223C85" w:rsidP="00223C85">
            <w:pPr>
              <w:rPr>
                <w:sz w:val="20"/>
                <w:szCs w:val="20"/>
              </w:rPr>
            </w:pPr>
            <w:r w:rsidRPr="00223C85">
              <w:rPr>
                <w:sz w:val="20"/>
                <w:szCs w:val="20"/>
              </w:rPr>
              <w:t>Согласно требованиям пункта 1 части 1 статьи 33 ФЗ о Контрактной системе, описание объекта закупки должно носить объективный характер и не может устанавливать требования к товарам, влекущие ограничение числа участников, что мы, к сожалению, наблюдаем в данной закупке. Одноразовые электроды для ЭКГ имеют различную форму (круглая, овальная), основная рабочая поверхность электрода состоит из электрода, коннектора, геля и клеевого состава.</w:t>
            </w:r>
          </w:p>
          <w:p w:rsidR="00223C85" w:rsidRPr="00223C85" w:rsidRDefault="00223C85" w:rsidP="00223C85">
            <w:pPr>
              <w:rPr>
                <w:sz w:val="20"/>
                <w:szCs w:val="20"/>
              </w:rPr>
            </w:pPr>
            <w:r w:rsidRPr="00223C85">
              <w:rPr>
                <w:sz w:val="20"/>
                <w:szCs w:val="20"/>
              </w:rPr>
              <w:t xml:space="preserve">Каким образом предполагаемый Заказчиком точный размер электрода влияет на </w:t>
            </w:r>
            <w:proofErr w:type="gramStart"/>
            <w:r w:rsidRPr="00223C85">
              <w:rPr>
                <w:sz w:val="20"/>
                <w:szCs w:val="20"/>
              </w:rPr>
              <w:t>терапевтических</w:t>
            </w:r>
            <w:proofErr w:type="gramEnd"/>
            <w:r w:rsidRPr="00223C85">
              <w:rPr>
                <w:sz w:val="20"/>
                <w:szCs w:val="20"/>
              </w:rPr>
              <w:t xml:space="preserve"> эффект и соответственно улучшает качество оказание медицинской помощи?</w:t>
            </w:r>
          </w:p>
          <w:p w:rsidR="00223C85" w:rsidRPr="00223C85" w:rsidRDefault="00223C85" w:rsidP="00223C85">
            <w:pPr>
              <w:rPr>
                <w:sz w:val="20"/>
                <w:szCs w:val="20"/>
              </w:rPr>
            </w:pPr>
            <w:proofErr w:type="gramStart"/>
            <w:r w:rsidRPr="00223C85">
              <w:rPr>
                <w:sz w:val="20"/>
                <w:szCs w:val="20"/>
              </w:rPr>
              <w:t>Согласно п.2 ст.8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</w:t>
            </w:r>
            <w:proofErr w:type="gramEnd"/>
            <w:r w:rsidRPr="00223C85">
              <w:rPr>
                <w:sz w:val="20"/>
                <w:szCs w:val="20"/>
              </w:rPr>
              <w:t xml:space="preserve"> Запрещается совершение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 любых действий, которые противоречат требованиям настоящего Федерального закона, в том числе приводят к ограничению конкуренции, в частности к необоснованному ограничению числа участников закупок. </w:t>
            </w:r>
          </w:p>
          <w:p w:rsidR="00223C85" w:rsidRPr="00223C85" w:rsidRDefault="00223C85" w:rsidP="00223C85">
            <w:pPr>
              <w:rPr>
                <w:sz w:val="20"/>
                <w:szCs w:val="20"/>
              </w:rPr>
            </w:pPr>
            <w:proofErr w:type="gramStart"/>
            <w:r w:rsidRPr="00223C85">
              <w:rPr>
                <w:sz w:val="20"/>
                <w:szCs w:val="20"/>
              </w:rPr>
              <w:t xml:space="preserve">Статьей 17 Федерального закона РФ от 26.07.2006 г. № 135-ФЗ «О защите конкуренции» (далее - 135-ФЗ) установлено, что при проведении торгов запрещаются действия, которые приводят или могут привести к недопущению, ограничению или устранению конкуренции, в том числе создание участнику торгов или нескольким участникам торгов преимущественных условий участия в торгах (п. 2 ч. 1 ст. 17). </w:t>
            </w:r>
            <w:proofErr w:type="gramEnd"/>
          </w:p>
          <w:p w:rsidR="00223C85" w:rsidRPr="00223C85" w:rsidRDefault="00223C85" w:rsidP="00223C85">
            <w:pPr>
              <w:rPr>
                <w:sz w:val="20"/>
                <w:szCs w:val="20"/>
              </w:rPr>
            </w:pPr>
            <w:r w:rsidRPr="00223C85">
              <w:rPr>
                <w:sz w:val="20"/>
                <w:szCs w:val="20"/>
              </w:rPr>
              <w:t>В связи с этим, просим вас в описании объекта закупки установить допуск по размерам, указав: «диаметр баллона (груши) – не менее 30мм,</w:t>
            </w:r>
          </w:p>
          <w:p w:rsidR="00223C85" w:rsidRPr="00223C85" w:rsidRDefault="00223C85" w:rsidP="00223C85">
            <w:pPr>
              <w:rPr>
                <w:sz w:val="20"/>
                <w:szCs w:val="20"/>
              </w:rPr>
            </w:pPr>
            <w:r w:rsidRPr="00223C85">
              <w:rPr>
                <w:sz w:val="20"/>
                <w:szCs w:val="20"/>
              </w:rPr>
              <w:t xml:space="preserve">диаметр присоски – не менее 22мм»; «диаметр баллона (груши) – не менее 24мм, </w:t>
            </w:r>
          </w:p>
          <w:p w:rsidR="00536940" w:rsidRPr="00536940" w:rsidRDefault="00223C85" w:rsidP="00223C85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223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диаметр присоски – не менее18мм» В противном случае будем вынуждены обратиться с жалобами в контролирующие органы (УФАС по региону) и другие надзорные органы.</w:t>
            </w:r>
          </w:p>
        </w:tc>
        <w:tc>
          <w:tcPr>
            <w:tcW w:w="2977" w:type="dxa"/>
          </w:tcPr>
          <w:p w:rsidR="00E738D9" w:rsidRPr="00223C85" w:rsidRDefault="00223C85" w:rsidP="00671D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3C85">
              <w:rPr>
                <w:kern w:val="32"/>
                <w:sz w:val="20"/>
                <w:szCs w:val="20"/>
              </w:rPr>
              <w:lastRenderedPageBreak/>
              <w:t>В Извещение о проведениио проведении закупки на</w:t>
            </w:r>
            <w:r w:rsidRPr="00223C85">
              <w:rPr>
                <w:sz w:val="20"/>
                <w:szCs w:val="20"/>
              </w:rPr>
              <w:t xml:space="preserve"> поставку медицинских расходных материалов (комплекты электродов для ЭКГ) </w:t>
            </w:r>
            <w:r w:rsidRPr="00223C85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0</w:t>
            </w:r>
            <w:r w:rsidR="00671D18">
              <w:rPr>
                <w:kern w:val="32"/>
                <w:sz w:val="20"/>
                <w:szCs w:val="20"/>
              </w:rPr>
              <w:t>98</w:t>
            </w:r>
            <w:r w:rsidRPr="00223C85">
              <w:rPr>
                <w:kern w:val="32"/>
                <w:sz w:val="20"/>
                <w:szCs w:val="20"/>
              </w:rPr>
              <w:t xml:space="preserve">-21 будут внесены соответствующие </w:t>
            </w:r>
            <w:bookmarkStart w:id="0" w:name="_GoBack"/>
            <w:bookmarkEnd w:id="0"/>
            <w:r w:rsidRPr="00223C85">
              <w:rPr>
                <w:kern w:val="32"/>
                <w:sz w:val="20"/>
                <w:szCs w:val="20"/>
              </w:rPr>
              <w:t>изменения.</w:t>
            </w:r>
          </w:p>
        </w:tc>
      </w:tr>
    </w:tbl>
    <w:p w:rsidR="009A7D27" w:rsidRPr="00536940" w:rsidRDefault="009A7D27" w:rsidP="00B415E8">
      <w:pPr>
        <w:jc w:val="both"/>
        <w:rPr>
          <w:sz w:val="22"/>
          <w:szCs w:val="22"/>
        </w:rPr>
      </w:pPr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73712E" w:rsidRPr="00536940" w:rsidRDefault="0073712E" w:rsidP="00B415E8">
      <w:pPr>
        <w:jc w:val="both"/>
        <w:rPr>
          <w:sz w:val="22"/>
          <w:szCs w:val="22"/>
        </w:rPr>
      </w:pPr>
    </w:p>
    <w:p w:rsidR="00B415E8" w:rsidRPr="00536940" w:rsidRDefault="003917C2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Г</w:t>
      </w:r>
      <w:r w:rsidR="00794C52" w:rsidRPr="00536940">
        <w:rPr>
          <w:b/>
          <w:sz w:val="22"/>
          <w:szCs w:val="22"/>
        </w:rPr>
        <w:t>лавн</w:t>
      </w:r>
      <w:r w:rsidRPr="00536940">
        <w:rPr>
          <w:b/>
          <w:sz w:val="22"/>
          <w:szCs w:val="22"/>
        </w:rPr>
        <w:t>ый</w:t>
      </w:r>
      <w:r w:rsidR="00B415E8" w:rsidRPr="00536940">
        <w:rPr>
          <w:b/>
          <w:sz w:val="22"/>
          <w:szCs w:val="22"/>
        </w:rPr>
        <w:t xml:space="preserve"> врач</w:t>
      </w:r>
    </w:p>
    <w:p w:rsidR="00794C52" w:rsidRPr="00536940" w:rsidRDefault="00B415E8" w:rsidP="00B415E8">
      <w:pPr>
        <w:jc w:val="both"/>
        <w:rPr>
          <w:b/>
          <w:sz w:val="22"/>
          <w:szCs w:val="22"/>
        </w:rPr>
      </w:pPr>
      <w:r w:rsidRPr="00536940">
        <w:rPr>
          <w:b/>
          <w:sz w:val="22"/>
          <w:szCs w:val="22"/>
        </w:rPr>
        <w:t>ОГАУЗ «ИГКБ № 8»</w:t>
      </w:r>
      <w:r w:rsidR="00794C5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="003917C2" w:rsidRPr="00536940">
        <w:rPr>
          <w:b/>
          <w:sz w:val="22"/>
          <w:szCs w:val="22"/>
        </w:rPr>
        <w:tab/>
      </w:r>
      <w:r w:rsidRPr="00536940">
        <w:rPr>
          <w:b/>
          <w:sz w:val="22"/>
          <w:szCs w:val="22"/>
        </w:rPr>
        <w:t xml:space="preserve">   _______________/</w:t>
      </w:r>
      <w:r w:rsidR="003917C2" w:rsidRPr="00536940">
        <w:rPr>
          <w:b/>
          <w:sz w:val="22"/>
          <w:szCs w:val="22"/>
        </w:rPr>
        <w:t xml:space="preserve">Ж.В. </w:t>
      </w:r>
      <w:proofErr w:type="spellStart"/>
      <w:r w:rsidR="003917C2" w:rsidRPr="00536940">
        <w:rPr>
          <w:b/>
          <w:sz w:val="22"/>
          <w:szCs w:val="22"/>
        </w:rPr>
        <w:t>Есева</w:t>
      </w:r>
      <w:proofErr w:type="spellEnd"/>
    </w:p>
    <w:p w:rsidR="00B415E8" w:rsidRPr="00536940" w:rsidRDefault="00B415E8" w:rsidP="00B415E8">
      <w:pPr>
        <w:jc w:val="both"/>
        <w:rPr>
          <w:sz w:val="22"/>
          <w:szCs w:val="22"/>
        </w:rPr>
      </w:pPr>
    </w:p>
    <w:p w:rsidR="009E72B7" w:rsidRPr="00536940" w:rsidRDefault="0073712E" w:rsidP="00E90BA3">
      <w:pPr>
        <w:jc w:val="both"/>
        <w:rPr>
          <w:sz w:val="18"/>
          <w:szCs w:val="18"/>
        </w:rPr>
      </w:pPr>
      <w:r w:rsidRPr="00536940">
        <w:rPr>
          <w:sz w:val="18"/>
          <w:szCs w:val="18"/>
        </w:rPr>
        <w:t xml:space="preserve">Исп.: </w:t>
      </w:r>
      <w:r w:rsidR="00672ED3" w:rsidRPr="00536940">
        <w:rPr>
          <w:sz w:val="18"/>
          <w:szCs w:val="18"/>
        </w:rPr>
        <w:t>Земцов А.В.</w:t>
      </w:r>
      <w:r w:rsidRPr="00536940">
        <w:rPr>
          <w:sz w:val="18"/>
          <w:szCs w:val="18"/>
        </w:rPr>
        <w:t xml:space="preserve">, юрисконсульт, </w:t>
      </w:r>
      <w:r w:rsidR="00A40B88" w:rsidRPr="00536940">
        <w:rPr>
          <w:sz w:val="18"/>
          <w:szCs w:val="18"/>
        </w:rPr>
        <w:t>(3952) 5</w:t>
      </w:r>
      <w:r w:rsidR="000D4DBA" w:rsidRPr="00536940">
        <w:rPr>
          <w:sz w:val="18"/>
          <w:szCs w:val="18"/>
        </w:rPr>
        <w:t>0</w:t>
      </w:r>
      <w:r w:rsidR="00A40B88" w:rsidRPr="00536940">
        <w:rPr>
          <w:sz w:val="18"/>
          <w:szCs w:val="18"/>
        </w:rPr>
        <w:t>-</w:t>
      </w:r>
      <w:r w:rsidR="00672ED3" w:rsidRPr="00536940">
        <w:rPr>
          <w:sz w:val="18"/>
          <w:szCs w:val="18"/>
        </w:rPr>
        <w:t>23-21</w:t>
      </w:r>
    </w:p>
    <w:sectPr w:rsidR="009E72B7" w:rsidRPr="0053694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1BEE"/>
    <w:rsid w:val="001B6C3D"/>
    <w:rsid w:val="001C6868"/>
    <w:rsid w:val="001F4339"/>
    <w:rsid w:val="001F4FC1"/>
    <w:rsid w:val="00206674"/>
    <w:rsid w:val="00222332"/>
    <w:rsid w:val="00223C85"/>
    <w:rsid w:val="002B1EAE"/>
    <w:rsid w:val="002C5683"/>
    <w:rsid w:val="002C60E0"/>
    <w:rsid w:val="00316D23"/>
    <w:rsid w:val="0035164C"/>
    <w:rsid w:val="003917C2"/>
    <w:rsid w:val="003A1D74"/>
    <w:rsid w:val="003B13F1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972D6"/>
    <w:rsid w:val="005D5FCF"/>
    <w:rsid w:val="005E10A3"/>
    <w:rsid w:val="00671D18"/>
    <w:rsid w:val="00672ED3"/>
    <w:rsid w:val="00696832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03E06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7E9D"/>
    <w:rsid w:val="00EC027D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3</cp:revision>
  <cp:lastPrinted>2021-04-05T00:37:00Z</cp:lastPrinted>
  <dcterms:created xsi:type="dcterms:W3CDTF">2021-04-05T00:40:00Z</dcterms:created>
  <dcterms:modified xsi:type="dcterms:W3CDTF">2021-04-07T02:33:00Z</dcterms:modified>
</cp:coreProperties>
</file>