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3A001F">
        <w:rPr>
          <w:b/>
          <w:sz w:val="28"/>
          <w:szCs w:val="28"/>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
          <w:sz w:val="28"/>
          <w:szCs w:val="28"/>
        </w:rPr>
        <w:t>Kaspersky</w:t>
      </w:r>
      <w:proofErr w:type="spellEnd"/>
      <w:r w:rsidR="003A001F">
        <w:rPr>
          <w:b/>
          <w:sz w:val="28"/>
          <w:szCs w:val="28"/>
        </w:rPr>
        <w:t xml:space="preserve"> EDR для бизнеса - </w:t>
      </w:r>
      <w:proofErr w:type="gramStart"/>
      <w:r w:rsidR="003A001F">
        <w:rPr>
          <w:b/>
          <w:sz w:val="28"/>
          <w:szCs w:val="28"/>
        </w:rPr>
        <w:t>Оптимальный</w:t>
      </w:r>
      <w:proofErr w:type="gramEnd"/>
      <w:r w:rsidR="003A001F">
        <w:rPr>
          <w:b/>
          <w:sz w:val="28"/>
          <w:szCs w:val="28"/>
        </w:rPr>
        <w:t xml:space="preserve"> </w:t>
      </w:r>
      <w:proofErr w:type="spellStart"/>
      <w:r w:rsidR="003A001F">
        <w:rPr>
          <w:b/>
          <w:sz w:val="28"/>
          <w:szCs w:val="28"/>
        </w:rPr>
        <w:t>Russian</w:t>
      </w:r>
      <w:proofErr w:type="spellEnd"/>
      <w:r w:rsidR="003A001F">
        <w:rPr>
          <w:b/>
          <w:sz w:val="28"/>
          <w:szCs w:val="28"/>
        </w:rPr>
        <w:t xml:space="preserve"> </w:t>
      </w:r>
      <w:proofErr w:type="spellStart"/>
      <w:r w:rsidR="003A001F">
        <w:rPr>
          <w:b/>
          <w:sz w:val="28"/>
          <w:szCs w:val="28"/>
        </w:rPr>
        <w:t>Edition</w:t>
      </w:r>
      <w:proofErr w:type="spellEnd"/>
      <w:r w:rsidR="003A001F">
        <w:rPr>
          <w:b/>
          <w:sz w:val="28"/>
          <w:szCs w:val="28"/>
        </w:rPr>
        <w:t xml:space="preserve">. 500-999 </w:t>
      </w:r>
      <w:proofErr w:type="spellStart"/>
      <w:r w:rsidR="003A001F">
        <w:rPr>
          <w:b/>
          <w:sz w:val="28"/>
          <w:szCs w:val="28"/>
        </w:rPr>
        <w:t>Node</w:t>
      </w:r>
      <w:proofErr w:type="spellEnd"/>
      <w:r w:rsidR="003A001F">
        <w:rPr>
          <w:b/>
          <w:sz w:val="28"/>
          <w:szCs w:val="28"/>
        </w:rPr>
        <w:t xml:space="preserve"> 1 </w:t>
      </w:r>
      <w:proofErr w:type="spellStart"/>
      <w:r w:rsidR="003A001F">
        <w:rPr>
          <w:b/>
          <w:sz w:val="28"/>
          <w:szCs w:val="28"/>
        </w:rPr>
        <w:t>year</w:t>
      </w:r>
      <w:proofErr w:type="spellEnd"/>
      <w:r w:rsidR="003A001F">
        <w:rPr>
          <w:b/>
          <w:sz w:val="28"/>
          <w:szCs w:val="28"/>
        </w:rPr>
        <w:t xml:space="preserve"> </w:t>
      </w:r>
      <w:proofErr w:type="spellStart"/>
      <w:r w:rsidR="003A001F">
        <w:rPr>
          <w:b/>
          <w:sz w:val="28"/>
          <w:szCs w:val="28"/>
        </w:rPr>
        <w:t>Renewal</w:t>
      </w:r>
      <w:proofErr w:type="spellEnd"/>
      <w:r w:rsidR="003A001F">
        <w:rPr>
          <w:b/>
          <w:sz w:val="28"/>
          <w:szCs w:val="28"/>
        </w:rPr>
        <w:t xml:space="preserve"> </w:t>
      </w:r>
      <w:proofErr w:type="spellStart"/>
      <w:r w:rsidR="003A001F">
        <w:rPr>
          <w:b/>
          <w:sz w:val="28"/>
          <w:szCs w:val="28"/>
        </w:rPr>
        <w:t>License</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A001F">
        <w:rPr>
          <w:b/>
          <w:kern w:val="32"/>
          <w:sz w:val="28"/>
          <w:szCs w:val="28"/>
        </w:rPr>
        <w:t>182-21н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45CC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865039" w:rsidRPr="008024A7">
              <w:rPr>
                <w:sz w:val="20"/>
                <w:szCs w:val="20"/>
              </w:rPr>
              <w:t xml:space="preserve">Оказание услуг </w:t>
            </w:r>
            <w:r w:rsidR="003A001F">
              <w:rPr>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sz w:val="20"/>
                <w:szCs w:val="20"/>
              </w:rPr>
              <w:t>Kaspersky</w:t>
            </w:r>
            <w:proofErr w:type="spellEnd"/>
            <w:r w:rsidR="003A001F">
              <w:rPr>
                <w:sz w:val="20"/>
                <w:szCs w:val="20"/>
              </w:rPr>
              <w:t xml:space="preserve"> EDR для бизнеса - </w:t>
            </w:r>
            <w:proofErr w:type="gramStart"/>
            <w:r w:rsidR="003A001F">
              <w:rPr>
                <w:sz w:val="20"/>
                <w:szCs w:val="20"/>
              </w:rPr>
              <w:t>Оптимальный</w:t>
            </w:r>
            <w:proofErr w:type="gramEnd"/>
            <w:r w:rsidR="003A001F">
              <w:rPr>
                <w:sz w:val="20"/>
                <w:szCs w:val="20"/>
              </w:rPr>
              <w:t xml:space="preserve"> </w:t>
            </w:r>
            <w:proofErr w:type="spellStart"/>
            <w:r w:rsidR="003A001F">
              <w:rPr>
                <w:sz w:val="20"/>
                <w:szCs w:val="20"/>
              </w:rPr>
              <w:t>Russian</w:t>
            </w:r>
            <w:proofErr w:type="spellEnd"/>
            <w:r w:rsidR="003A001F">
              <w:rPr>
                <w:sz w:val="20"/>
                <w:szCs w:val="20"/>
              </w:rPr>
              <w:t xml:space="preserve"> </w:t>
            </w:r>
            <w:proofErr w:type="spellStart"/>
            <w:r w:rsidR="003A001F">
              <w:rPr>
                <w:sz w:val="20"/>
                <w:szCs w:val="20"/>
              </w:rPr>
              <w:t>Edition</w:t>
            </w:r>
            <w:proofErr w:type="spellEnd"/>
            <w:r w:rsidR="003A001F">
              <w:rPr>
                <w:sz w:val="20"/>
                <w:szCs w:val="20"/>
              </w:rPr>
              <w:t xml:space="preserve">. 500-999 </w:t>
            </w:r>
            <w:proofErr w:type="spellStart"/>
            <w:r w:rsidR="003A001F">
              <w:rPr>
                <w:sz w:val="20"/>
                <w:szCs w:val="20"/>
              </w:rPr>
              <w:t>Node</w:t>
            </w:r>
            <w:proofErr w:type="spellEnd"/>
            <w:r w:rsidR="003A001F">
              <w:rPr>
                <w:sz w:val="20"/>
                <w:szCs w:val="20"/>
              </w:rPr>
              <w:t xml:space="preserve"> 1 </w:t>
            </w:r>
            <w:proofErr w:type="spellStart"/>
            <w:r w:rsidR="003A001F">
              <w:rPr>
                <w:sz w:val="20"/>
                <w:szCs w:val="20"/>
              </w:rPr>
              <w:t>year</w:t>
            </w:r>
            <w:proofErr w:type="spellEnd"/>
            <w:r w:rsidR="003A001F">
              <w:rPr>
                <w:sz w:val="20"/>
                <w:szCs w:val="20"/>
              </w:rPr>
              <w:t xml:space="preserve"> </w:t>
            </w:r>
            <w:proofErr w:type="spellStart"/>
            <w:r w:rsidR="003A001F">
              <w:rPr>
                <w:sz w:val="20"/>
                <w:szCs w:val="20"/>
              </w:rPr>
              <w:t>Renewal</w:t>
            </w:r>
            <w:proofErr w:type="spellEnd"/>
            <w:r w:rsidR="003A001F">
              <w:rPr>
                <w:sz w:val="20"/>
                <w:szCs w:val="20"/>
              </w:rPr>
              <w:t xml:space="preserve"> </w:t>
            </w:r>
            <w:proofErr w:type="spellStart"/>
            <w:r w:rsidR="003A001F">
              <w:rPr>
                <w:sz w:val="20"/>
                <w:szCs w:val="20"/>
              </w:rPr>
              <w:t>License</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8660F6" w:rsidP="00BF5704">
            <w:pPr>
              <w:autoSpaceDE w:val="0"/>
              <w:autoSpaceDN w:val="0"/>
              <w:adjustRightInd w:val="0"/>
              <w:rPr>
                <w:sz w:val="20"/>
                <w:szCs w:val="20"/>
              </w:rPr>
            </w:pPr>
            <w:r w:rsidRPr="008660F6">
              <w:rPr>
                <w:sz w:val="20"/>
                <w:szCs w:val="20"/>
              </w:rPr>
              <w:t>58.29.50.000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8660F6" w:rsidP="009B021D">
            <w:pPr>
              <w:autoSpaceDE w:val="0"/>
              <w:autoSpaceDN w:val="0"/>
              <w:adjustRightInd w:val="0"/>
              <w:rPr>
                <w:sz w:val="20"/>
                <w:szCs w:val="20"/>
              </w:rPr>
            </w:pPr>
            <w:r>
              <w:rPr>
                <w:sz w:val="20"/>
                <w:szCs w:val="20"/>
              </w:rPr>
              <w:t>454</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673714" w:rsidP="00017099">
            <w:pPr>
              <w:autoSpaceDE w:val="0"/>
              <w:autoSpaceDN w:val="0"/>
              <w:adjustRightInd w:val="0"/>
              <w:outlineLvl w:val="1"/>
              <w:rPr>
                <w:b/>
                <w:sz w:val="20"/>
                <w:szCs w:val="20"/>
              </w:rPr>
            </w:pPr>
            <w:r w:rsidRPr="008024A7">
              <w:rPr>
                <w:b/>
                <w:sz w:val="20"/>
                <w:szCs w:val="20"/>
              </w:rPr>
              <w:t>Источник финансирования</w:t>
            </w:r>
            <w:r w:rsidR="00F9735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8024A7" w:rsidRDefault="00A84ECD" w:rsidP="00CF026A">
            <w:pPr>
              <w:autoSpaceDE w:val="0"/>
              <w:autoSpaceDN w:val="0"/>
              <w:adjustRightInd w:val="0"/>
              <w:rPr>
                <w:sz w:val="20"/>
                <w:szCs w:val="20"/>
              </w:rPr>
            </w:pPr>
            <w:r w:rsidRPr="008024A7">
              <w:rPr>
                <w:sz w:val="20"/>
                <w:szCs w:val="20"/>
              </w:rPr>
              <w:t>Средства территориального фонда ОМС</w:t>
            </w:r>
          </w:p>
          <w:p w:rsidR="00BB59D3" w:rsidRPr="008024A7" w:rsidRDefault="00BB59D3" w:rsidP="00CF026A">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F97358">
            <w:pPr>
              <w:autoSpaceDE w:val="0"/>
              <w:autoSpaceDN w:val="0"/>
              <w:adjustRightInd w:val="0"/>
              <w:rPr>
                <w:sz w:val="20"/>
                <w:szCs w:val="20"/>
              </w:rPr>
            </w:pPr>
            <w:r>
              <w:rPr>
                <w:sz w:val="20"/>
                <w:szCs w:val="20"/>
              </w:rPr>
              <w:t>В течение 30 (тридцати) календарных дней</w:t>
            </w:r>
            <w:r w:rsidR="006D614A">
              <w:rPr>
                <w:sz w:val="20"/>
                <w:szCs w:val="20"/>
              </w:rPr>
              <w:t xml:space="preserve"> с момента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 xml:space="preserve">Место оказания услуг: </w:t>
            </w:r>
            <w:proofErr w:type="gramStart"/>
            <w:r w:rsidRPr="008024A7">
              <w:rPr>
                <w:sz w:val="20"/>
                <w:szCs w:val="20"/>
              </w:rPr>
              <w:t>г</w:t>
            </w:r>
            <w:proofErr w:type="gramEnd"/>
            <w:r w:rsidRPr="008024A7">
              <w:rPr>
                <w:sz w:val="20"/>
                <w:szCs w:val="20"/>
              </w:rPr>
              <w:t>. Иркутск</w:t>
            </w:r>
            <w:r w:rsidR="00862FF5" w:rsidRPr="008024A7">
              <w:rPr>
                <w:sz w:val="20"/>
                <w:szCs w:val="20"/>
              </w:rPr>
              <w:t xml:space="preserve">, </w:t>
            </w:r>
            <w:r w:rsidR="00BB2CB6" w:rsidRPr="008024A7">
              <w:rPr>
                <w:sz w:val="20"/>
                <w:szCs w:val="20"/>
              </w:rPr>
              <w:t>ул. Ярославского, 300</w:t>
            </w:r>
            <w:r w:rsidRPr="008024A7">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8660F6" w:rsidP="008660F6">
            <w:pPr>
              <w:tabs>
                <w:tab w:val="left" w:pos="6022"/>
              </w:tabs>
              <w:ind w:right="72"/>
              <w:rPr>
                <w:sz w:val="20"/>
                <w:szCs w:val="20"/>
              </w:rPr>
            </w:pPr>
            <w:r>
              <w:rPr>
                <w:sz w:val="20"/>
                <w:szCs w:val="20"/>
              </w:rPr>
              <w:t>674 661,27</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шестьсот семьдесят четыре тысячи шестьсот шестьдесят один рубль двадцать семь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8660F6">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8660F6">
              <w:rPr>
                <w:b/>
                <w:sz w:val="20"/>
                <w:szCs w:val="20"/>
              </w:rPr>
              <w:t>25</w:t>
            </w:r>
            <w:r w:rsidRPr="008024A7">
              <w:rPr>
                <w:b/>
                <w:sz w:val="20"/>
                <w:szCs w:val="20"/>
              </w:rPr>
              <w:t>»</w:t>
            </w:r>
            <w:r w:rsidR="00BB2CB6" w:rsidRPr="008024A7">
              <w:rPr>
                <w:b/>
                <w:sz w:val="20"/>
                <w:szCs w:val="20"/>
              </w:rPr>
              <w:t xml:space="preserve"> </w:t>
            </w:r>
            <w:r w:rsidR="008660F6">
              <w:rPr>
                <w:b/>
                <w:sz w:val="20"/>
                <w:szCs w:val="20"/>
              </w:rPr>
              <w:t>июня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8660F6">
              <w:rPr>
                <w:b/>
                <w:sz w:val="20"/>
                <w:szCs w:val="20"/>
              </w:rPr>
              <w:t>05</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660F6">
              <w:rPr>
                <w:sz w:val="20"/>
                <w:szCs w:val="20"/>
              </w:rPr>
              <w:t>25</w:t>
            </w:r>
            <w:r w:rsidRPr="008024A7">
              <w:rPr>
                <w:sz w:val="20"/>
                <w:szCs w:val="20"/>
              </w:rPr>
              <w:t xml:space="preserve">» </w:t>
            </w:r>
            <w:r w:rsidR="008660F6">
              <w:rPr>
                <w:sz w:val="20"/>
                <w:szCs w:val="20"/>
              </w:rPr>
              <w:t>июня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660F6">
            <w:pPr>
              <w:jc w:val="both"/>
              <w:rPr>
                <w:sz w:val="20"/>
                <w:szCs w:val="20"/>
              </w:rPr>
            </w:pPr>
            <w:r w:rsidRPr="008024A7">
              <w:rPr>
                <w:bCs/>
                <w:sz w:val="20"/>
                <w:szCs w:val="20"/>
              </w:rPr>
              <w:t>«</w:t>
            </w:r>
            <w:r w:rsidR="008660F6">
              <w:rPr>
                <w:bCs/>
                <w:sz w:val="20"/>
                <w:szCs w:val="20"/>
              </w:rPr>
              <w:t>05</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660F6" w:rsidP="00DA1FB1">
            <w:pPr>
              <w:autoSpaceDE w:val="0"/>
              <w:autoSpaceDN w:val="0"/>
              <w:adjustRightInd w:val="0"/>
              <w:jc w:val="both"/>
              <w:outlineLvl w:val="1"/>
              <w:rPr>
                <w:sz w:val="20"/>
                <w:szCs w:val="20"/>
              </w:rPr>
            </w:pPr>
            <w:r>
              <w:rPr>
                <w:sz w:val="20"/>
                <w:szCs w:val="20"/>
              </w:rPr>
              <w:t>20 239,84</w:t>
            </w:r>
            <w:r w:rsidR="00DA1FB1" w:rsidRPr="008024A7">
              <w:rPr>
                <w:sz w:val="20"/>
                <w:szCs w:val="20"/>
              </w:rPr>
              <w:t xml:space="preserve"> руб. (</w:t>
            </w:r>
            <w:r>
              <w:rPr>
                <w:sz w:val="20"/>
                <w:szCs w:val="20"/>
              </w:rPr>
              <w:t>двадцать тысяч двести тридцать девять рублей восемьдесят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865039"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BD0D1F" w:rsidP="008660F6">
            <w:pPr>
              <w:jc w:val="both"/>
              <w:rPr>
                <w:sz w:val="20"/>
                <w:szCs w:val="20"/>
              </w:rPr>
            </w:pPr>
            <w:r w:rsidRPr="00BD0D1F">
              <w:rPr>
                <w:sz w:val="20"/>
                <w:szCs w:val="20"/>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660F6">
            <w:pPr>
              <w:jc w:val="both"/>
              <w:rPr>
                <w:sz w:val="20"/>
                <w:szCs w:val="20"/>
              </w:rPr>
            </w:pPr>
            <w:r w:rsidRPr="008024A7">
              <w:rPr>
                <w:sz w:val="20"/>
                <w:szCs w:val="20"/>
              </w:rPr>
              <w:t>«</w:t>
            </w:r>
            <w:r w:rsidR="008660F6">
              <w:rPr>
                <w:sz w:val="20"/>
                <w:szCs w:val="20"/>
              </w:rPr>
              <w:t>02</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660F6">
            <w:pPr>
              <w:jc w:val="both"/>
              <w:rPr>
                <w:sz w:val="20"/>
                <w:szCs w:val="20"/>
              </w:rPr>
            </w:pPr>
            <w:r w:rsidRPr="008024A7">
              <w:rPr>
                <w:sz w:val="20"/>
                <w:szCs w:val="20"/>
              </w:rPr>
              <w:t>«</w:t>
            </w:r>
            <w:r w:rsidR="008660F6">
              <w:rPr>
                <w:sz w:val="20"/>
                <w:szCs w:val="20"/>
              </w:rPr>
              <w:t>05</w:t>
            </w:r>
            <w:r w:rsidRPr="008024A7">
              <w:rPr>
                <w:sz w:val="20"/>
                <w:szCs w:val="20"/>
              </w:rPr>
              <w:t xml:space="preserve">» </w:t>
            </w:r>
            <w:r w:rsidR="008660F6">
              <w:rPr>
                <w:sz w:val="20"/>
                <w:szCs w:val="20"/>
              </w:rPr>
              <w:t>июля</w:t>
            </w:r>
            <w:r w:rsidR="000D65F6" w:rsidRPr="008024A7">
              <w:rPr>
                <w:sz w:val="20"/>
                <w:szCs w:val="20"/>
              </w:rPr>
              <w:t xml:space="preserve"> 202</w:t>
            </w:r>
            <w:r w:rsidR="00DF745F" w:rsidRPr="008024A7">
              <w:rPr>
                <w:sz w:val="20"/>
                <w:szCs w:val="20"/>
              </w:rPr>
              <w:t>1</w:t>
            </w:r>
            <w:r w:rsidRPr="008024A7">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(Приложение </w:t>
            </w:r>
            <w:r w:rsidR="00321073" w:rsidRPr="008024A7">
              <w:rPr>
                <w:i/>
                <w:sz w:val="20"/>
                <w:szCs w:val="20"/>
              </w:rPr>
              <w:lastRenderedPageBreak/>
              <w:t>№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8024A7">
              <w:rPr>
                <w:bCs/>
                <w:sz w:val="20"/>
                <w:szCs w:val="20"/>
              </w:rPr>
              <w:lastRenderedPageBreak/>
              <w:t>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w:t>
            </w:r>
            <w:r w:rsidRPr="008024A7">
              <w:rPr>
                <w:rFonts w:ascii="Times New Roman" w:hAnsi="Times New Roman" w:cs="Times New Roman"/>
                <w:color w:val="auto"/>
                <w:sz w:val="20"/>
                <w:szCs w:val="20"/>
              </w:rPr>
              <w:lastRenderedPageBreak/>
              <w:t xml:space="preserve">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w:t>
            </w:r>
            <w:r w:rsidRPr="008024A7">
              <w:rPr>
                <w:rFonts w:ascii="Times New Roman" w:hAnsi="Times New Roman"/>
                <w:sz w:val="20"/>
                <w:szCs w:val="20"/>
              </w:rPr>
              <w:lastRenderedPageBreak/>
              <w:t>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3A001F">
        <w:rPr>
          <w:b/>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
          <w:sz w:val="20"/>
          <w:szCs w:val="20"/>
        </w:rPr>
        <w:t>Kaspersky</w:t>
      </w:r>
      <w:proofErr w:type="spellEnd"/>
      <w:r w:rsidR="003A001F">
        <w:rPr>
          <w:b/>
          <w:sz w:val="20"/>
          <w:szCs w:val="20"/>
        </w:rPr>
        <w:t xml:space="preserve"> EDR для бизнеса - Оптимальный </w:t>
      </w:r>
      <w:proofErr w:type="spellStart"/>
      <w:r w:rsidR="003A001F">
        <w:rPr>
          <w:b/>
          <w:sz w:val="20"/>
          <w:szCs w:val="20"/>
        </w:rPr>
        <w:t>Russian</w:t>
      </w:r>
      <w:proofErr w:type="spellEnd"/>
      <w:r w:rsidR="003A001F">
        <w:rPr>
          <w:b/>
          <w:sz w:val="20"/>
          <w:szCs w:val="20"/>
        </w:rPr>
        <w:t xml:space="preserve"> </w:t>
      </w:r>
      <w:proofErr w:type="spellStart"/>
      <w:r w:rsidR="003A001F">
        <w:rPr>
          <w:b/>
          <w:sz w:val="20"/>
          <w:szCs w:val="20"/>
        </w:rPr>
        <w:t>Edition</w:t>
      </w:r>
      <w:proofErr w:type="spellEnd"/>
      <w:r w:rsidR="003A001F">
        <w:rPr>
          <w:b/>
          <w:sz w:val="20"/>
          <w:szCs w:val="20"/>
        </w:rPr>
        <w:t xml:space="preserve">. 500-999 </w:t>
      </w:r>
      <w:proofErr w:type="spellStart"/>
      <w:r w:rsidR="003A001F">
        <w:rPr>
          <w:b/>
          <w:sz w:val="20"/>
          <w:szCs w:val="20"/>
        </w:rPr>
        <w:t>Node</w:t>
      </w:r>
      <w:proofErr w:type="spellEnd"/>
      <w:r w:rsidR="003A001F">
        <w:rPr>
          <w:b/>
          <w:sz w:val="20"/>
          <w:szCs w:val="20"/>
        </w:rPr>
        <w:t xml:space="preserve"> 1 </w:t>
      </w:r>
      <w:proofErr w:type="spellStart"/>
      <w:r w:rsidR="003A001F">
        <w:rPr>
          <w:b/>
          <w:sz w:val="20"/>
          <w:szCs w:val="20"/>
        </w:rPr>
        <w:t>year</w:t>
      </w:r>
      <w:proofErr w:type="spellEnd"/>
      <w:r w:rsidR="003A001F">
        <w:rPr>
          <w:b/>
          <w:sz w:val="20"/>
          <w:szCs w:val="20"/>
        </w:rPr>
        <w:t xml:space="preserve"> </w:t>
      </w:r>
      <w:proofErr w:type="spellStart"/>
      <w:r w:rsidR="003A001F">
        <w:rPr>
          <w:b/>
          <w:sz w:val="20"/>
          <w:szCs w:val="20"/>
        </w:rPr>
        <w:t>Renewal</w:t>
      </w:r>
      <w:proofErr w:type="spellEnd"/>
      <w:r w:rsidR="003A001F">
        <w:rPr>
          <w:b/>
          <w:sz w:val="20"/>
          <w:szCs w:val="20"/>
        </w:rPr>
        <w:t xml:space="preserve"> </w:t>
      </w:r>
      <w:proofErr w:type="spellStart"/>
      <w:r w:rsidR="003A001F">
        <w:rPr>
          <w:b/>
          <w:sz w:val="20"/>
          <w:szCs w:val="20"/>
        </w:rPr>
        <w:t>License</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A001F">
        <w:rPr>
          <w:b/>
          <w:kern w:val="32"/>
          <w:sz w:val="22"/>
          <w:szCs w:val="22"/>
        </w:rPr>
        <w:t>182-21н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3A001F">
        <w:rPr>
          <w:b/>
          <w:bCs/>
          <w:sz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
          <w:bCs/>
          <w:sz w:val="20"/>
        </w:rPr>
        <w:t>Kaspersky</w:t>
      </w:r>
      <w:proofErr w:type="spellEnd"/>
      <w:r w:rsidR="003A001F">
        <w:rPr>
          <w:b/>
          <w:bCs/>
          <w:sz w:val="20"/>
        </w:rPr>
        <w:t xml:space="preserve"> EDR для бизнеса - </w:t>
      </w:r>
      <w:proofErr w:type="gramStart"/>
      <w:r w:rsidR="003A001F">
        <w:rPr>
          <w:b/>
          <w:bCs/>
          <w:sz w:val="20"/>
        </w:rPr>
        <w:t>Оптимальный</w:t>
      </w:r>
      <w:proofErr w:type="gramEnd"/>
      <w:r w:rsidR="003A001F">
        <w:rPr>
          <w:b/>
          <w:bCs/>
          <w:sz w:val="20"/>
        </w:rPr>
        <w:t xml:space="preserve"> </w:t>
      </w:r>
      <w:proofErr w:type="spellStart"/>
      <w:r w:rsidR="003A001F">
        <w:rPr>
          <w:b/>
          <w:bCs/>
          <w:sz w:val="20"/>
        </w:rPr>
        <w:t>Russian</w:t>
      </w:r>
      <w:proofErr w:type="spellEnd"/>
      <w:r w:rsidR="003A001F">
        <w:rPr>
          <w:b/>
          <w:bCs/>
          <w:sz w:val="20"/>
        </w:rPr>
        <w:t xml:space="preserve"> </w:t>
      </w:r>
      <w:proofErr w:type="spellStart"/>
      <w:r w:rsidR="003A001F">
        <w:rPr>
          <w:b/>
          <w:bCs/>
          <w:sz w:val="20"/>
        </w:rPr>
        <w:t>Edition</w:t>
      </w:r>
      <w:proofErr w:type="spellEnd"/>
      <w:r w:rsidR="003A001F">
        <w:rPr>
          <w:b/>
          <w:bCs/>
          <w:sz w:val="20"/>
        </w:rPr>
        <w:t xml:space="preserve">. 500-999 </w:t>
      </w:r>
      <w:proofErr w:type="spellStart"/>
      <w:r w:rsidR="003A001F">
        <w:rPr>
          <w:b/>
          <w:bCs/>
          <w:sz w:val="20"/>
        </w:rPr>
        <w:t>Node</w:t>
      </w:r>
      <w:proofErr w:type="spellEnd"/>
      <w:r w:rsidR="003A001F">
        <w:rPr>
          <w:b/>
          <w:bCs/>
          <w:sz w:val="20"/>
        </w:rPr>
        <w:t xml:space="preserve"> 1 </w:t>
      </w:r>
      <w:proofErr w:type="spellStart"/>
      <w:r w:rsidR="003A001F">
        <w:rPr>
          <w:b/>
          <w:bCs/>
          <w:sz w:val="20"/>
        </w:rPr>
        <w:t>year</w:t>
      </w:r>
      <w:proofErr w:type="spellEnd"/>
      <w:r w:rsidR="003A001F">
        <w:rPr>
          <w:b/>
          <w:bCs/>
          <w:sz w:val="20"/>
        </w:rPr>
        <w:t xml:space="preserve"> </w:t>
      </w:r>
      <w:proofErr w:type="spellStart"/>
      <w:r w:rsidR="003A001F">
        <w:rPr>
          <w:b/>
          <w:bCs/>
          <w:sz w:val="20"/>
        </w:rPr>
        <w:t>Renewal</w:t>
      </w:r>
      <w:proofErr w:type="spellEnd"/>
      <w:r w:rsidR="003A001F">
        <w:rPr>
          <w:b/>
          <w:bCs/>
          <w:sz w:val="20"/>
        </w:rPr>
        <w:t xml:space="preserve"> </w:t>
      </w:r>
      <w:proofErr w:type="spellStart"/>
      <w:r w:rsidR="003A001F">
        <w:rPr>
          <w:b/>
          <w:bCs/>
          <w:sz w:val="20"/>
        </w:rPr>
        <w:t>License</w:t>
      </w:r>
      <w:bookmarkEnd w:id="2"/>
      <w:proofErr w:type="spellEnd"/>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proofErr w:type="gramStart"/>
            <w:r w:rsidRPr="00F84809">
              <w:rPr>
                <w:b/>
                <w:color w:val="000000"/>
                <w:sz w:val="20"/>
                <w:szCs w:val="20"/>
              </w:rPr>
              <w:t>п</w:t>
            </w:r>
            <w:proofErr w:type="spellEnd"/>
            <w:proofErr w:type="gramEnd"/>
            <w:r w:rsidRPr="00F84809">
              <w:rPr>
                <w:b/>
                <w:color w:val="000000"/>
                <w:sz w:val="20"/>
                <w:szCs w:val="20"/>
              </w:rPr>
              <w:t>/</w:t>
            </w:r>
            <w:proofErr w:type="spellStart"/>
            <w:r w:rsidRPr="00F84809">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F745F"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745F" w:rsidRPr="00F84809" w:rsidRDefault="008660F6" w:rsidP="00DF745F">
            <w:pPr>
              <w:jc w:val="center"/>
              <w:rPr>
                <w:sz w:val="20"/>
                <w:szCs w:val="20"/>
              </w:rPr>
            </w:pPr>
            <w:r>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DF745F" w:rsidRPr="008660F6" w:rsidRDefault="008660F6" w:rsidP="008660F6">
            <w:pPr>
              <w:shd w:val="clear" w:color="auto" w:fill="FFFFFF"/>
              <w:rPr>
                <w:color w:val="000000"/>
                <w:sz w:val="20"/>
                <w:szCs w:val="20"/>
              </w:rPr>
            </w:pPr>
            <w:r w:rsidRPr="008660F6">
              <w:rPr>
                <w:bCs/>
                <w:sz w:val="20"/>
              </w:rPr>
              <w:t xml:space="preserve">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8660F6">
              <w:rPr>
                <w:bCs/>
                <w:sz w:val="20"/>
              </w:rPr>
              <w:t>Kaspersky</w:t>
            </w:r>
            <w:proofErr w:type="spellEnd"/>
            <w:r w:rsidRPr="008660F6">
              <w:rPr>
                <w:bCs/>
                <w:sz w:val="20"/>
              </w:rPr>
              <w:t xml:space="preserve"> EDR для бизнеса - </w:t>
            </w:r>
            <w:proofErr w:type="gramStart"/>
            <w:r w:rsidRPr="008660F6">
              <w:rPr>
                <w:bCs/>
                <w:sz w:val="20"/>
              </w:rPr>
              <w:t>Оптимальный</w:t>
            </w:r>
            <w:proofErr w:type="gramEnd"/>
            <w:r w:rsidRPr="008660F6">
              <w:rPr>
                <w:bCs/>
                <w:sz w:val="20"/>
              </w:rPr>
              <w:t xml:space="preserve"> </w:t>
            </w:r>
            <w:proofErr w:type="spellStart"/>
            <w:r w:rsidRPr="008660F6">
              <w:rPr>
                <w:bCs/>
                <w:sz w:val="20"/>
              </w:rPr>
              <w:t>Russian</w:t>
            </w:r>
            <w:proofErr w:type="spellEnd"/>
            <w:r w:rsidRPr="008660F6">
              <w:rPr>
                <w:bCs/>
                <w:sz w:val="20"/>
              </w:rPr>
              <w:t xml:space="preserve"> </w:t>
            </w:r>
            <w:proofErr w:type="spellStart"/>
            <w:r w:rsidRPr="008660F6">
              <w:rPr>
                <w:bCs/>
                <w:sz w:val="20"/>
              </w:rPr>
              <w:t>Edition</w:t>
            </w:r>
            <w:proofErr w:type="spellEnd"/>
            <w:r w:rsidRPr="008660F6">
              <w:rPr>
                <w:bCs/>
                <w:sz w:val="20"/>
              </w:rPr>
              <w:t xml:space="preserve">. 500-999 </w:t>
            </w:r>
            <w:proofErr w:type="spellStart"/>
            <w:r w:rsidRPr="008660F6">
              <w:rPr>
                <w:bCs/>
                <w:sz w:val="20"/>
              </w:rPr>
              <w:t>Node</w:t>
            </w:r>
            <w:proofErr w:type="spellEnd"/>
            <w:r w:rsidRPr="008660F6">
              <w:rPr>
                <w:bCs/>
                <w:sz w:val="20"/>
              </w:rPr>
              <w:t xml:space="preserve"> 1 </w:t>
            </w:r>
            <w:proofErr w:type="spellStart"/>
            <w:r w:rsidRPr="008660F6">
              <w:rPr>
                <w:bCs/>
                <w:sz w:val="20"/>
              </w:rPr>
              <w:t>year</w:t>
            </w:r>
            <w:proofErr w:type="spellEnd"/>
            <w:r w:rsidRPr="008660F6">
              <w:rPr>
                <w:bCs/>
                <w:sz w:val="20"/>
              </w:rPr>
              <w:t xml:space="preserve"> </w:t>
            </w:r>
            <w:proofErr w:type="spellStart"/>
            <w:r w:rsidRPr="008660F6">
              <w:rPr>
                <w:bCs/>
                <w:sz w:val="20"/>
              </w:rPr>
              <w:t>Renewal</w:t>
            </w:r>
            <w:proofErr w:type="spellEnd"/>
            <w:r w:rsidRPr="008660F6">
              <w:rPr>
                <w:bCs/>
                <w:sz w:val="20"/>
              </w:rPr>
              <w:t xml:space="preserve"> </w:t>
            </w:r>
            <w:proofErr w:type="spellStart"/>
            <w:r w:rsidRPr="008660F6">
              <w:rPr>
                <w:bCs/>
                <w:sz w:val="20"/>
              </w:rPr>
              <w:t>License</w:t>
            </w:r>
            <w:proofErr w:type="spellEnd"/>
            <w:r w:rsidR="00E2058B">
              <w:rPr>
                <w:bCs/>
                <w:sz w:val="20"/>
              </w:rPr>
              <w:t>**</w:t>
            </w:r>
          </w:p>
        </w:tc>
        <w:tc>
          <w:tcPr>
            <w:tcW w:w="4820" w:type="dxa"/>
            <w:tcBorders>
              <w:top w:val="single" w:sz="4" w:space="0" w:color="auto"/>
              <w:left w:val="nil"/>
              <w:bottom w:val="single" w:sz="4" w:space="0" w:color="auto"/>
              <w:right w:val="single" w:sz="4" w:space="0" w:color="auto"/>
            </w:tcBorders>
          </w:tcPr>
          <w:p w:rsidR="00DF745F" w:rsidRPr="005B0EA0" w:rsidRDefault="008660F6" w:rsidP="00E2058B">
            <w:pPr>
              <w:ind w:left="34"/>
              <w:jc w:val="both"/>
              <w:rPr>
                <w:b/>
                <w:sz w:val="19"/>
                <w:szCs w:val="19"/>
              </w:rPr>
            </w:pPr>
            <w:r w:rsidRPr="005B0EA0">
              <w:rPr>
                <w:b/>
                <w:sz w:val="19"/>
                <w:szCs w:val="19"/>
              </w:rPr>
              <w:t>(Номер предыдущей лицензии 1B08-200721-092147-767-2026).</w:t>
            </w:r>
          </w:p>
          <w:p w:rsidR="00471EE1" w:rsidRPr="005B0EA0" w:rsidRDefault="00E2058B" w:rsidP="00E2058B">
            <w:pPr>
              <w:ind w:left="34" w:firstLine="283"/>
              <w:jc w:val="both"/>
              <w:rPr>
                <w:color w:val="000000"/>
                <w:sz w:val="19"/>
                <w:szCs w:val="19"/>
              </w:rPr>
            </w:pPr>
            <w:r w:rsidRPr="005B0EA0">
              <w:rPr>
                <w:color w:val="000000"/>
                <w:sz w:val="19"/>
                <w:szCs w:val="19"/>
              </w:rPr>
              <w:t>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8660F6" w:rsidRPr="005B0EA0" w:rsidRDefault="008660F6" w:rsidP="00E2058B">
            <w:pPr>
              <w:ind w:left="34"/>
              <w:jc w:val="both"/>
              <w:rPr>
                <w:color w:val="000000"/>
                <w:sz w:val="19"/>
                <w:szCs w:val="19"/>
              </w:rPr>
            </w:pPr>
            <w:r w:rsidRPr="005B0EA0">
              <w:rPr>
                <w:color w:val="000000"/>
                <w:sz w:val="19"/>
                <w:szCs w:val="19"/>
              </w:rPr>
              <w:t>Лицензия на рабочую станцию:</w:t>
            </w:r>
          </w:p>
          <w:p w:rsidR="008660F6" w:rsidRPr="005B0EA0" w:rsidRDefault="008660F6" w:rsidP="00E2058B">
            <w:pPr>
              <w:widowControl w:val="0"/>
              <w:suppressLineNumbers/>
              <w:suppressAutoHyphens/>
              <w:ind w:left="34" w:firstLine="351"/>
              <w:jc w:val="both"/>
              <w:rPr>
                <w:color w:val="000000"/>
                <w:sz w:val="19"/>
                <w:szCs w:val="19"/>
              </w:rPr>
            </w:pPr>
            <w:r w:rsidRPr="005B0EA0">
              <w:rPr>
                <w:color w:val="000000"/>
                <w:sz w:val="19"/>
                <w:szCs w:val="19"/>
              </w:rPr>
              <w:t xml:space="preserve">Предоставляется единая лицензия (электронный ключ) на все устройства, где обеспечивается антивирусная защита, а также </w:t>
            </w:r>
            <w:r w:rsidRPr="005B0EA0">
              <w:rPr>
                <w:sz w:val="19"/>
                <w:szCs w:val="19"/>
              </w:rPr>
              <w:t>установочный комплект сертифицированного дистрибутива с подтверждающими документами ФСТЭК и ФСБ и с соответствующими формулярами.</w:t>
            </w:r>
          </w:p>
          <w:p w:rsidR="008660F6" w:rsidRPr="005B0EA0" w:rsidRDefault="008660F6" w:rsidP="00E2058B">
            <w:pPr>
              <w:widowControl w:val="0"/>
              <w:suppressLineNumbers/>
              <w:suppressAutoHyphens/>
              <w:ind w:left="34" w:firstLine="317"/>
              <w:jc w:val="both"/>
              <w:rPr>
                <w:color w:val="000000"/>
                <w:sz w:val="19"/>
                <w:szCs w:val="19"/>
              </w:rPr>
            </w:pPr>
            <w:proofErr w:type="gramStart"/>
            <w:r w:rsidRPr="005B0EA0">
              <w:rPr>
                <w:color w:val="000000"/>
                <w:sz w:val="19"/>
                <w:szCs w:val="19"/>
              </w:rPr>
              <w:t>Антивирусное программное обеспечение должно обеспечить единой антивирусной защитой персональные компьютеры Заказчика от всех типов вредоносных программ, спама, обеспечить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обеспечить антивирусной защитой серверы Сублицензиата, а также обеспечить возможность централизованного обновления антивирусных баз и возможность централизованного управления антивирусной защитой.</w:t>
            </w:r>
            <w:proofErr w:type="gramEnd"/>
          </w:p>
          <w:p w:rsidR="008660F6" w:rsidRPr="005B0EA0" w:rsidRDefault="008660F6" w:rsidP="00E2058B">
            <w:pPr>
              <w:ind w:left="34" w:firstLine="317"/>
              <w:jc w:val="both"/>
              <w:rPr>
                <w:sz w:val="19"/>
                <w:szCs w:val="19"/>
              </w:rPr>
            </w:pPr>
            <w:r w:rsidRPr="005B0EA0">
              <w:rPr>
                <w:color w:val="000000"/>
                <w:sz w:val="19"/>
                <w:szCs w:val="19"/>
              </w:rPr>
              <w:t xml:space="preserve">Антивирусное программное обеспечение должно  обеспечить функционал расследования атак и реагирования для рабочих станций и серверов: </w:t>
            </w:r>
            <w:r w:rsidRPr="005B0EA0">
              <w:rPr>
                <w:sz w:val="19"/>
                <w:szCs w:val="19"/>
              </w:rPr>
              <w:t>Программные средства расследования атак и реагирования для рабочих станций и серверов должны поставлять в виде встроенного специализированного агента в состав антивирусного решения разработчика и обеспечивать реализацию следующих функциональных возможностей:</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proofErr w:type="gramStart"/>
            <w:r w:rsidRPr="005B0EA0">
              <w:rPr>
                <w:rFonts w:ascii="Times New Roman" w:eastAsia="Times New Roman" w:hAnsi="Times New Roman" w:cs="Times New Roman"/>
                <w:color w:val="auto"/>
                <w:sz w:val="19"/>
                <w:szCs w:val="19"/>
                <w:lang w:eastAsia="ru-RU"/>
              </w:rPr>
              <w:t>совместимость агента с антивирусными решениями разработчика программного средства;</w:t>
            </w:r>
            <w:proofErr w:type="gramEnd"/>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proofErr w:type="gramStart"/>
            <w:r w:rsidRPr="005B0EA0">
              <w:rPr>
                <w:rFonts w:ascii="Times New Roman" w:eastAsia="Times New Roman" w:hAnsi="Times New Roman" w:cs="Times New Roman"/>
                <w:color w:val="auto"/>
                <w:sz w:val="19"/>
                <w:szCs w:val="19"/>
                <w:lang w:eastAsia="ru-RU"/>
              </w:rPr>
              <w:t xml:space="preserve">Поддержку установки на следующие ОС: </w:t>
            </w:r>
            <w:proofErr w:type="gramEnd"/>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7 SP1 Home / Professional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8.1.1 Professional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RS3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1703)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RS4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1803)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RS5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1809)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RS6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1903) Home / Professional / </w:t>
            </w:r>
            <w:r w:rsidRPr="005B0EA0">
              <w:rPr>
                <w:rFonts w:ascii="Times New Roman" w:eastAsia="Times New Roman" w:hAnsi="Times New Roman" w:cs="Times New Roman"/>
                <w:color w:val="auto"/>
                <w:sz w:val="19"/>
                <w:szCs w:val="19"/>
                <w:lang w:val="en-US" w:eastAsia="ru-RU"/>
              </w:rPr>
              <w:lastRenderedPageBreak/>
              <w:t>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19H2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1909)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20H1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2004)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2008 R2 Foundation / Standard / Enterprise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2012 Foundation / Standard / Enterprise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2012 R2 Foundation / Standard / Enterprise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2016 Essentials / Standard / Datacenter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2019 Essentials / Standard / Datacenter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предоставлять расширенную информацию по новым обнаружениям от антивирусного решения разработчика программного средства в виде:</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графа цепочки развития угрозы;</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информации об устройстве, на котором обнаружена угроза, включающей IP-адрес, MAC и версию ОС;</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общей информации об обнаружении, включающей время обнаружения, имя объекта, параметры запуска объекта при их наличии, каталог нахождения объекта, его контрольные суммы MD5 и SHA256, имя учетной записи, режим обнаружени</w:t>
            </w:r>
            <w:proofErr w:type="gramStart"/>
            <w:r w:rsidRPr="005B0EA0">
              <w:rPr>
                <w:rFonts w:ascii="Times New Roman" w:eastAsia="Times New Roman" w:hAnsi="Times New Roman" w:cs="Times New Roman"/>
                <w:color w:val="auto"/>
                <w:sz w:val="19"/>
                <w:szCs w:val="19"/>
                <w:lang w:eastAsia="ru-RU"/>
              </w:rPr>
              <w:t>я(</w:t>
            </w:r>
            <w:proofErr w:type="gramEnd"/>
            <w:r w:rsidRPr="005B0EA0">
              <w:rPr>
                <w:rFonts w:ascii="Times New Roman" w:eastAsia="Times New Roman" w:hAnsi="Times New Roman" w:cs="Times New Roman"/>
                <w:color w:val="auto"/>
                <w:sz w:val="19"/>
                <w:szCs w:val="19"/>
                <w:lang w:eastAsia="ru-RU"/>
              </w:rPr>
              <w:t>например, обнаружение при сканировании по требованию или при автоматическом сканировании);</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 xml:space="preserve">ссылки на </w:t>
            </w:r>
            <w:proofErr w:type="spellStart"/>
            <w:r w:rsidRPr="005B0EA0">
              <w:rPr>
                <w:rFonts w:ascii="Times New Roman" w:eastAsia="Times New Roman" w:hAnsi="Times New Roman" w:cs="Times New Roman"/>
                <w:color w:val="auto"/>
                <w:sz w:val="19"/>
                <w:szCs w:val="19"/>
                <w:lang w:eastAsia="ru-RU"/>
              </w:rPr>
              <w:t>веб-ресурс</w:t>
            </w:r>
            <w:proofErr w:type="spellEnd"/>
            <w:r w:rsidRPr="005B0EA0">
              <w:rPr>
                <w:rFonts w:ascii="Times New Roman" w:eastAsia="Times New Roman" w:hAnsi="Times New Roman" w:cs="Times New Roman"/>
                <w:color w:val="auto"/>
                <w:sz w:val="19"/>
                <w:szCs w:val="19"/>
                <w:lang w:eastAsia="ru-RU"/>
              </w:rPr>
              <w:t xml:space="preserve"> разработчика(</w:t>
            </w:r>
            <w:proofErr w:type="spellStart"/>
            <w:r w:rsidRPr="005B0EA0">
              <w:rPr>
                <w:rFonts w:ascii="Times New Roman" w:eastAsia="Times New Roman" w:hAnsi="Times New Roman" w:cs="Times New Roman"/>
                <w:color w:val="auto"/>
                <w:sz w:val="19"/>
                <w:szCs w:val="19"/>
                <w:lang w:eastAsia="ru-RU"/>
              </w:rPr>
              <w:t>Threat</w:t>
            </w:r>
            <w:proofErr w:type="spellEnd"/>
            <w:r w:rsidRPr="005B0EA0">
              <w:rPr>
                <w:rFonts w:ascii="Times New Roman" w:eastAsia="Times New Roman" w:hAnsi="Times New Roman" w:cs="Times New Roman"/>
                <w:color w:val="auto"/>
                <w:sz w:val="19"/>
                <w:szCs w:val="19"/>
                <w:lang w:eastAsia="ru-RU"/>
              </w:rPr>
              <w:t xml:space="preserve"> </w:t>
            </w:r>
            <w:proofErr w:type="spellStart"/>
            <w:r w:rsidRPr="005B0EA0">
              <w:rPr>
                <w:rFonts w:ascii="Times New Roman" w:eastAsia="Times New Roman" w:hAnsi="Times New Roman" w:cs="Times New Roman"/>
                <w:color w:val="auto"/>
                <w:sz w:val="19"/>
                <w:szCs w:val="19"/>
                <w:lang w:eastAsia="ru-RU"/>
              </w:rPr>
              <w:t>Intelligence</w:t>
            </w:r>
            <w:proofErr w:type="spellEnd"/>
            <w:r w:rsidRPr="005B0EA0">
              <w:rPr>
                <w:rFonts w:ascii="Times New Roman" w:eastAsia="Times New Roman" w:hAnsi="Times New Roman" w:cs="Times New Roman"/>
                <w:color w:val="auto"/>
                <w:sz w:val="19"/>
                <w:szCs w:val="19"/>
                <w:lang w:eastAsia="ru-RU"/>
              </w:rPr>
              <w:t>) для просмотра расширенной информации по объекту обнаружения;</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изменений в реестре, информации о созданных файлов, запущенных процессов, сетевых соединениях связанных с обнаружением;</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принятых антивирусным решением разработчика программного средства ответных действий.</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обеспечивать возможность реагирования на выявленные угрозы на основе автоматизированного выполнения следующих задач для искомого устройства либо сразу для группы устройств:</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помещение объекта на карантин;</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удаление файла;</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сетевая изоляция устройства;</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запуск антивирусного сканирования важных областей на устройстве;</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запуск поиска индикаторов компрометации(IOC) на группе устройств.</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обеспечивать возможность реагирования на выявленные угрозы на основе выполнения следующих задач со стороны администратора системы для искомого устройства либо сразу для группы устройств:</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помещение объекта в список запрещенных к запуску исполняемых файлов;</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удаление файла;</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сетевая изоляция устройства;</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помещение объекта на карантин;</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запуск процесса на устройстве;</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завершение процесса на устройстве;</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поддерживать возможность формирования индикаторов компрометации(IOC) из обнаружения, сделанного антивирусным решением разработчика для последующего сканирования на устройствах на основе следующих объектов:</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описание файло</w:t>
            </w:r>
            <w:proofErr w:type="gramStart"/>
            <w:r w:rsidRPr="005B0EA0">
              <w:rPr>
                <w:rFonts w:ascii="Times New Roman" w:eastAsia="Times New Roman" w:hAnsi="Times New Roman" w:cs="Times New Roman"/>
                <w:color w:val="auto"/>
                <w:sz w:val="19"/>
                <w:szCs w:val="19"/>
                <w:lang w:eastAsia="ru-RU"/>
              </w:rPr>
              <w:t>в(</w:t>
            </w:r>
            <w:proofErr w:type="gramEnd"/>
            <w:r w:rsidRPr="005B0EA0">
              <w:rPr>
                <w:rFonts w:ascii="Times New Roman" w:eastAsia="Times New Roman" w:hAnsi="Times New Roman" w:cs="Times New Roman"/>
                <w:color w:val="auto"/>
                <w:sz w:val="19"/>
                <w:szCs w:val="19"/>
                <w:lang w:eastAsia="ru-RU"/>
              </w:rPr>
              <w:t>контрольная сумма/расположение файла);</w:t>
            </w:r>
          </w:p>
          <w:p w:rsidR="008660F6" w:rsidRPr="005B0EA0" w:rsidRDefault="008660F6" w:rsidP="00E2058B">
            <w:pPr>
              <w:pStyle w:val="ad"/>
              <w:numPr>
                <w:ilvl w:val="0"/>
                <w:numId w:val="49"/>
              </w:numPr>
              <w:suppressAutoHyphens w:val="0"/>
              <w:spacing w:after="0" w:line="240" w:lineRule="auto"/>
              <w:ind w:left="34"/>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пути и ключи реестра;</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lastRenderedPageBreak/>
              <w:t xml:space="preserve">поддерживать экспорт и импорт индикаторов компрометации(IOC) в формате </w:t>
            </w:r>
            <w:proofErr w:type="spellStart"/>
            <w:r w:rsidRPr="005B0EA0">
              <w:rPr>
                <w:rFonts w:ascii="Times New Roman" w:eastAsia="Times New Roman" w:hAnsi="Times New Roman" w:cs="Times New Roman"/>
                <w:color w:val="auto"/>
                <w:sz w:val="19"/>
                <w:szCs w:val="19"/>
                <w:lang w:eastAsia="ru-RU"/>
              </w:rPr>
              <w:t>OpenIOC</w:t>
            </w:r>
            <w:proofErr w:type="spellEnd"/>
            <w:r w:rsidRPr="005B0EA0">
              <w:rPr>
                <w:rFonts w:ascii="Times New Roman" w:eastAsia="Times New Roman" w:hAnsi="Times New Roman" w:cs="Times New Roman"/>
                <w:color w:val="auto"/>
                <w:sz w:val="19"/>
                <w:szCs w:val="19"/>
                <w:lang w:eastAsia="ru-RU"/>
              </w:rPr>
              <w:t>;</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 xml:space="preserve">создавать специальную задачу для осуществления сканирования заданных областей на устройстве или группе устройств по заданным индикаторам компрометации(IOC) по расписанию или по требованию с возможность просмотра результатов сканирования; </w:t>
            </w:r>
          </w:p>
          <w:p w:rsidR="008660F6" w:rsidRPr="005B0EA0" w:rsidRDefault="008660F6" w:rsidP="00E2058B">
            <w:pPr>
              <w:pStyle w:val="ad"/>
              <w:numPr>
                <w:ilvl w:val="0"/>
                <w:numId w:val="48"/>
              </w:numPr>
              <w:suppressAutoHyphens w:val="0"/>
              <w:spacing w:after="0" w:line="240" w:lineRule="auto"/>
              <w:ind w:left="34" w:firstLine="283"/>
              <w:jc w:val="both"/>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 xml:space="preserve">поддерживать все описанные сценарии работы с решением через </w:t>
            </w:r>
            <w:proofErr w:type="spellStart"/>
            <w:r w:rsidRPr="005B0EA0">
              <w:rPr>
                <w:rFonts w:ascii="Times New Roman" w:eastAsia="Times New Roman" w:hAnsi="Times New Roman" w:cs="Times New Roman"/>
                <w:color w:val="auto"/>
                <w:sz w:val="19"/>
                <w:szCs w:val="19"/>
                <w:lang w:eastAsia="ru-RU"/>
              </w:rPr>
              <w:t>веб-интерфейс</w:t>
            </w:r>
            <w:proofErr w:type="spellEnd"/>
            <w:r w:rsidRPr="005B0EA0">
              <w:rPr>
                <w:rFonts w:ascii="Times New Roman" w:eastAsia="Times New Roman" w:hAnsi="Times New Roman" w:cs="Times New Roman"/>
                <w:color w:val="auto"/>
                <w:sz w:val="19"/>
                <w:szCs w:val="19"/>
                <w:lang w:eastAsia="ru-RU"/>
              </w:rPr>
              <w:t xml:space="preserve"> средства централизованного управления.</w:t>
            </w:r>
          </w:p>
          <w:p w:rsidR="008660F6" w:rsidRPr="005B0EA0" w:rsidRDefault="008660F6" w:rsidP="00E2058B">
            <w:pPr>
              <w:widowControl w:val="0"/>
              <w:suppressLineNumbers/>
              <w:suppressAutoHyphens/>
              <w:ind w:left="34" w:firstLine="317"/>
              <w:jc w:val="both"/>
              <w:rPr>
                <w:color w:val="000000"/>
                <w:sz w:val="19"/>
                <w:szCs w:val="19"/>
              </w:rPr>
            </w:pPr>
            <w:r w:rsidRPr="005B0EA0">
              <w:rPr>
                <w:color w:val="000000"/>
                <w:sz w:val="19"/>
                <w:szCs w:val="19"/>
              </w:rPr>
              <w:t>Программное обеспечение должно иметь сертификат соответствия требованиям безопасности информации Федеральной службы по техническому и</w:t>
            </w:r>
            <w:r w:rsidR="00471EE1" w:rsidRPr="005B0EA0">
              <w:rPr>
                <w:color w:val="000000"/>
                <w:sz w:val="19"/>
                <w:szCs w:val="19"/>
              </w:rPr>
              <w:t xml:space="preserve"> </w:t>
            </w:r>
            <w:r w:rsidRPr="005B0EA0">
              <w:rPr>
                <w:color w:val="000000"/>
                <w:sz w:val="19"/>
                <w:szCs w:val="19"/>
              </w:rPr>
              <w:t xml:space="preserve">экспортному контролю Российской Федерации. </w:t>
            </w:r>
          </w:p>
          <w:p w:rsidR="00E2058B" w:rsidRPr="005B0EA0" w:rsidRDefault="00E2058B" w:rsidP="00E2058B">
            <w:pPr>
              <w:widowControl w:val="0"/>
              <w:suppressLineNumbers/>
              <w:tabs>
                <w:tab w:val="left" w:pos="72"/>
                <w:tab w:val="left" w:pos="142"/>
              </w:tabs>
              <w:suppressAutoHyphens/>
              <w:ind w:firstLine="459"/>
              <w:jc w:val="both"/>
              <w:rPr>
                <w:color w:val="000000"/>
                <w:spacing w:val="-2"/>
                <w:sz w:val="19"/>
                <w:szCs w:val="19"/>
              </w:rPr>
            </w:pPr>
            <w:r w:rsidRPr="005B0EA0">
              <w:rPr>
                <w:color w:val="000000"/>
                <w:spacing w:val="-2"/>
                <w:sz w:val="19"/>
                <w:szCs w:val="19"/>
              </w:rPr>
              <w:t>Программное обеспечение должно быть передано Заказчику в запечатанных конвертах.</w:t>
            </w:r>
          </w:p>
          <w:p w:rsidR="00E2058B" w:rsidRPr="005B0EA0" w:rsidRDefault="00E2058B" w:rsidP="00E2058B">
            <w:pPr>
              <w:widowControl w:val="0"/>
              <w:suppressLineNumbers/>
              <w:tabs>
                <w:tab w:val="left" w:pos="72"/>
                <w:tab w:val="left" w:pos="142"/>
              </w:tabs>
              <w:suppressAutoHyphens/>
              <w:ind w:firstLine="459"/>
              <w:jc w:val="both"/>
              <w:rPr>
                <w:color w:val="000000"/>
                <w:spacing w:val="-2"/>
                <w:sz w:val="19"/>
                <w:szCs w:val="19"/>
              </w:rPr>
            </w:pPr>
            <w:r w:rsidRPr="005B0EA0">
              <w:rPr>
                <w:color w:val="000000"/>
                <w:spacing w:val="-2"/>
                <w:sz w:val="19"/>
                <w:szCs w:val="19"/>
              </w:rPr>
              <w:t>Программное обеспечение поставляется в упаковке, обеспечивающей его целостность и сохранность;</w:t>
            </w:r>
          </w:p>
          <w:p w:rsidR="00E2058B" w:rsidRPr="005B0EA0" w:rsidRDefault="00E2058B" w:rsidP="00E2058B">
            <w:pPr>
              <w:ind w:left="34" w:firstLine="459"/>
              <w:jc w:val="both"/>
              <w:rPr>
                <w:b/>
                <w:sz w:val="19"/>
                <w:szCs w:val="19"/>
              </w:rPr>
            </w:pPr>
            <w:r w:rsidRPr="005B0EA0">
              <w:rPr>
                <w:color w:val="000000"/>
                <w:spacing w:val="-2"/>
                <w:sz w:val="19"/>
                <w:szCs w:val="19"/>
              </w:rPr>
              <w:t>Носитель информации и упаковка должны быть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8660F6" w:rsidRPr="005B0EA0" w:rsidRDefault="008660F6" w:rsidP="00E2058B">
            <w:pPr>
              <w:ind w:left="34" w:firstLine="283"/>
              <w:jc w:val="both"/>
              <w:rPr>
                <w:color w:val="000000"/>
                <w:sz w:val="19"/>
                <w:szCs w:val="19"/>
              </w:rPr>
            </w:pPr>
            <w:r w:rsidRPr="005B0EA0">
              <w:rPr>
                <w:color w:val="000000"/>
                <w:sz w:val="19"/>
                <w:szCs w:val="19"/>
              </w:rPr>
              <w:t>Срок действия неисключительного права на использование и воспроизведение программного обеспечения должен составлять не менее 12 месяцев.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745F" w:rsidRPr="00651D85" w:rsidRDefault="008660F6" w:rsidP="00DF745F">
            <w:pPr>
              <w:jc w:val="center"/>
              <w:rPr>
                <w:color w:val="000000"/>
                <w:sz w:val="19"/>
                <w:szCs w:val="19"/>
              </w:rPr>
            </w:pPr>
            <w:r>
              <w:rPr>
                <w:color w:val="000000"/>
                <w:sz w:val="19"/>
                <w:szCs w:val="19"/>
              </w:rPr>
              <w:lastRenderedPageBreak/>
              <w:t>Шт.</w:t>
            </w:r>
          </w:p>
        </w:tc>
        <w:tc>
          <w:tcPr>
            <w:tcW w:w="709" w:type="dxa"/>
            <w:tcBorders>
              <w:top w:val="single" w:sz="4" w:space="0" w:color="auto"/>
              <w:left w:val="nil"/>
              <w:bottom w:val="single" w:sz="4" w:space="0" w:color="auto"/>
              <w:right w:val="single" w:sz="4" w:space="0" w:color="auto"/>
            </w:tcBorders>
            <w:shd w:val="clear" w:color="auto" w:fill="auto"/>
            <w:hideMark/>
          </w:tcPr>
          <w:p w:rsidR="00DF745F" w:rsidRPr="00651D85" w:rsidRDefault="008660F6" w:rsidP="00DF745F">
            <w:pPr>
              <w:pStyle w:val="af9"/>
              <w:jc w:val="center"/>
              <w:rPr>
                <w:rFonts w:ascii="Times New Roman" w:hAnsi="Times New Roman"/>
                <w:sz w:val="19"/>
                <w:szCs w:val="19"/>
              </w:rPr>
            </w:pPr>
            <w:r>
              <w:rPr>
                <w:rFonts w:ascii="Times New Roman" w:hAnsi="Times New Roman"/>
                <w:sz w:val="19"/>
                <w:szCs w:val="19"/>
              </w:rPr>
              <w:t>620</w:t>
            </w:r>
          </w:p>
        </w:tc>
        <w:tc>
          <w:tcPr>
            <w:tcW w:w="1276" w:type="dxa"/>
            <w:tcBorders>
              <w:top w:val="single" w:sz="4" w:space="0" w:color="auto"/>
              <w:left w:val="nil"/>
              <w:bottom w:val="single" w:sz="4" w:space="0" w:color="auto"/>
              <w:right w:val="single" w:sz="4" w:space="0" w:color="auto"/>
            </w:tcBorders>
          </w:tcPr>
          <w:p w:rsidR="00DF745F" w:rsidRPr="00006C0C" w:rsidRDefault="008660F6" w:rsidP="00345ED6">
            <w:pPr>
              <w:pStyle w:val="af9"/>
              <w:jc w:val="center"/>
              <w:rPr>
                <w:rFonts w:ascii="Times New Roman" w:hAnsi="Times New Roman"/>
                <w:sz w:val="20"/>
                <w:szCs w:val="20"/>
              </w:rPr>
            </w:pPr>
            <w:r>
              <w:rPr>
                <w:rFonts w:ascii="Times New Roman" w:hAnsi="Times New Roman"/>
                <w:sz w:val="20"/>
                <w:szCs w:val="20"/>
              </w:rPr>
              <w:t>1088,16</w:t>
            </w:r>
          </w:p>
        </w:tc>
      </w:tr>
    </w:tbl>
    <w:p w:rsidR="00862FF5" w:rsidRDefault="00862FF5" w:rsidP="00862FF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8660F6">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8660F6">
        <w:rPr>
          <w:sz w:val="16"/>
          <w:szCs w:val="16"/>
        </w:rPr>
        <w:t>варам российского происхождения</w:t>
      </w:r>
    </w:p>
    <w:p w:rsidR="008660F6" w:rsidRPr="008660F6" w:rsidRDefault="008660F6" w:rsidP="008660F6">
      <w:pPr>
        <w:autoSpaceDE w:val="0"/>
        <w:autoSpaceDN w:val="0"/>
        <w:adjustRightInd w:val="0"/>
        <w:ind w:right="-1"/>
        <w:jc w:val="both"/>
        <w:rPr>
          <w:sz w:val="16"/>
          <w:szCs w:val="16"/>
        </w:rPr>
      </w:pPr>
      <w:r w:rsidRPr="008660F6">
        <w:rPr>
          <w:sz w:val="16"/>
          <w:szCs w:val="16"/>
        </w:rPr>
        <w:t xml:space="preserve">**- Эквивалент не предусмотрен в связи с тем, что 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B0610" w:rsidRDefault="004B0610" w:rsidP="004B0610">
      <w:pPr>
        <w:pStyle w:val="41"/>
        <w:contextualSpacing/>
        <w:jc w:val="both"/>
        <w:rPr>
          <w:b/>
          <w:sz w:val="20"/>
          <w:szCs w:val="20"/>
        </w:rPr>
      </w:pPr>
      <w:r>
        <w:rPr>
          <w:b/>
          <w:sz w:val="20"/>
          <w:szCs w:val="20"/>
        </w:rPr>
        <w:t xml:space="preserve">1. Условия </w:t>
      </w:r>
      <w:r w:rsidR="00E2058B">
        <w:rPr>
          <w:b/>
          <w:sz w:val="20"/>
          <w:szCs w:val="20"/>
        </w:rPr>
        <w:t>оказания услуг</w:t>
      </w:r>
      <w:r>
        <w:rPr>
          <w:b/>
          <w:sz w:val="20"/>
          <w:szCs w:val="20"/>
        </w:rPr>
        <w:t>:</w:t>
      </w:r>
    </w:p>
    <w:p w:rsidR="00E2058B" w:rsidRPr="00CC4F27" w:rsidRDefault="00E2058B" w:rsidP="00E2058B">
      <w:pPr>
        <w:widowControl w:val="0"/>
        <w:suppressLineNumbers/>
        <w:tabs>
          <w:tab w:val="left" w:pos="72"/>
          <w:tab w:val="left" w:pos="142"/>
        </w:tabs>
        <w:suppressAutoHyphens/>
        <w:ind w:firstLine="709"/>
        <w:jc w:val="both"/>
        <w:rPr>
          <w:color w:val="000000"/>
          <w:sz w:val="22"/>
          <w:szCs w:val="22"/>
        </w:rPr>
      </w:pPr>
      <w:r>
        <w:rPr>
          <w:color w:val="000000"/>
          <w:sz w:val="22"/>
          <w:szCs w:val="22"/>
        </w:rPr>
        <w:t>1.</w:t>
      </w:r>
      <w:r w:rsidRPr="00CC4F27">
        <w:rPr>
          <w:color w:val="000000"/>
          <w:sz w:val="22"/>
          <w:szCs w:val="22"/>
        </w:rPr>
        <w:t>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w:t>
      </w:r>
      <w:r>
        <w:rPr>
          <w:color w:val="000000"/>
          <w:sz w:val="22"/>
          <w:szCs w:val="22"/>
        </w:rPr>
        <w:t>,</w:t>
      </w:r>
      <w:r w:rsidRPr="00CC4F27">
        <w:rPr>
          <w:color w:val="000000"/>
          <w:sz w:val="22"/>
          <w:szCs w:val="22"/>
        </w:rPr>
        <w:t xml:space="preserve"> подтверждающими их оригинальность.</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2. Лицензиат</w:t>
      </w:r>
      <w:r>
        <w:rPr>
          <w:color w:val="000000"/>
          <w:sz w:val="22"/>
          <w:szCs w:val="22"/>
        </w:rPr>
        <w:t xml:space="preserve"> </w:t>
      </w:r>
      <w:r w:rsidRPr="00CC4F27">
        <w:rPr>
          <w:color w:val="000000"/>
          <w:sz w:val="22"/>
          <w:szCs w:val="22"/>
        </w:rPr>
        <w:t xml:space="preserve">должен </w:t>
      </w:r>
      <w:proofErr w:type="gramStart"/>
      <w:r w:rsidRPr="00CC4F27">
        <w:rPr>
          <w:color w:val="000000"/>
          <w:sz w:val="22"/>
          <w:szCs w:val="22"/>
        </w:rPr>
        <w:t>предоставить документы</w:t>
      </w:r>
      <w:proofErr w:type="gramEnd"/>
      <w:r w:rsidRPr="00CC4F27">
        <w:rPr>
          <w:color w:val="000000"/>
          <w:sz w:val="22"/>
          <w:szCs w:val="22"/>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4. Лицензиат должен предоставить продление неисключительных прав на антивирусное программное обеспечение, в полном объеме.</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 xml:space="preserve">5. Неисключительные права на использование программного обеспечения переходят к Сублицензиату с момента получения </w:t>
      </w:r>
      <w:proofErr w:type="gramStart"/>
      <w:r w:rsidRPr="00CC4F27">
        <w:rPr>
          <w:color w:val="000000"/>
          <w:sz w:val="22"/>
          <w:szCs w:val="22"/>
        </w:rPr>
        <w:t>от</w:t>
      </w:r>
      <w:proofErr w:type="gramEnd"/>
      <w:r w:rsidRPr="00CC4F27">
        <w:rPr>
          <w:color w:val="000000"/>
          <w:sz w:val="22"/>
          <w:szCs w:val="22"/>
        </w:rPr>
        <w:t xml:space="preserve"> </w:t>
      </w:r>
      <w:proofErr w:type="gramStart"/>
      <w:r w:rsidRPr="00CC4F27">
        <w:rPr>
          <w:color w:val="000000"/>
          <w:sz w:val="22"/>
          <w:szCs w:val="22"/>
        </w:rPr>
        <w:t>Лицензиату</w:t>
      </w:r>
      <w:proofErr w:type="gramEnd"/>
      <w:r w:rsidRPr="00CC4F27">
        <w:rPr>
          <w:color w:val="000000"/>
          <w:sz w:val="22"/>
          <w:szCs w:val="22"/>
        </w:rPr>
        <w:t xml:space="preserve"> ключевого файла и лицензионного соглашения (бумажный вариант) действуют в течение 1 года с момента активации ключевого файла.</w:t>
      </w:r>
    </w:p>
    <w:p w:rsidR="00E2058B" w:rsidRPr="00CC4F27" w:rsidRDefault="00E2058B" w:rsidP="00E2058B">
      <w:pPr>
        <w:widowControl w:val="0"/>
        <w:suppressLineNumbers/>
        <w:tabs>
          <w:tab w:val="left" w:pos="72"/>
          <w:tab w:val="left" w:pos="142"/>
        </w:tabs>
        <w:suppressAutoHyphens/>
        <w:ind w:firstLine="709"/>
        <w:jc w:val="both"/>
        <w:rPr>
          <w:color w:val="000000"/>
          <w:sz w:val="22"/>
          <w:szCs w:val="22"/>
        </w:rPr>
      </w:pPr>
      <w:r>
        <w:rPr>
          <w:color w:val="000000"/>
          <w:sz w:val="22"/>
          <w:szCs w:val="22"/>
        </w:rPr>
        <w:t>1.</w:t>
      </w:r>
      <w:r w:rsidRPr="00CC4F27">
        <w:rPr>
          <w:color w:val="000000"/>
          <w:sz w:val="22"/>
          <w:szCs w:val="22"/>
        </w:rPr>
        <w:t>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E2058B" w:rsidRDefault="00E2058B" w:rsidP="00E2058B">
      <w:pPr>
        <w:widowControl w:val="0"/>
        <w:suppressLineNumbers/>
        <w:tabs>
          <w:tab w:val="left" w:pos="72"/>
          <w:tab w:val="left" w:pos="142"/>
        </w:tabs>
        <w:suppressAutoHyphens/>
        <w:ind w:firstLine="709"/>
        <w:jc w:val="both"/>
        <w:rPr>
          <w:color w:val="000000"/>
          <w:sz w:val="22"/>
          <w:szCs w:val="22"/>
        </w:rPr>
      </w:pPr>
      <w:r>
        <w:rPr>
          <w:color w:val="000000"/>
          <w:sz w:val="22"/>
          <w:szCs w:val="22"/>
        </w:rPr>
        <w:t>1.</w:t>
      </w:r>
      <w:r w:rsidRPr="00CC4F27">
        <w:rPr>
          <w:color w:val="000000"/>
          <w:sz w:val="22"/>
          <w:szCs w:val="22"/>
        </w:rPr>
        <w:t>7. Срок предоставления гарантии качества: не менее 12 месяцев.</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3A001F">
        <w:rPr>
          <w:b/>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
          <w:sz w:val="20"/>
          <w:szCs w:val="20"/>
        </w:rPr>
        <w:t>Kaspersky</w:t>
      </w:r>
      <w:proofErr w:type="spellEnd"/>
      <w:r w:rsidR="003A001F">
        <w:rPr>
          <w:b/>
          <w:sz w:val="20"/>
          <w:szCs w:val="20"/>
        </w:rPr>
        <w:t xml:space="preserve"> EDR для бизнеса - Оптимальный </w:t>
      </w:r>
      <w:proofErr w:type="spellStart"/>
      <w:r w:rsidR="003A001F">
        <w:rPr>
          <w:b/>
          <w:sz w:val="20"/>
          <w:szCs w:val="20"/>
        </w:rPr>
        <w:t>Russian</w:t>
      </w:r>
      <w:proofErr w:type="spellEnd"/>
      <w:r w:rsidR="003A001F">
        <w:rPr>
          <w:b/>
          <w:sz w:val="20"/>
          <w:szCs w:val="20"/>
        </w:rPr>
        <w:t xml:space="preserve"> </w:t>
      </w:r>
      <w:proofErr w:type="spellStart"/>
      <w:r w:rsidR="003A001F">
        <w:rPr>
          <w:b/>
          <w:sz w:val="20"/>
          <w:szCs w:val="20"/>
        </w:rPr>
        <w:t>Edition</w:t>
      </w:r>
      <w:proofErr w:type="spellEnd"/>
      <w:r w:rsidR="003A001F">
        <w:rPr>
          <w:b/>
          <w:sz w:val="20"/>
          <w:szCs w:val="20"/>
        </w:rPr>
        <w:t xml:space="preserve">. 500-999 </w:t>
      </w:r>
      <w:proofErr w:type="spellStart"/>
      <w:r w:rsidR="003A001F">
        <w:rPr>
          <w:b/>
          <w:sz w:val="20"/>
          <w:szCs w:val="20"/>
        </w:rPr>
        <w:t>Node</w:t>
      </w:r>
      <w:proofErr w:type="spellEnd"/>
      <w:r w:rsidR="003A001F">
        <w:rPr>
          <w:b/>
          <w:sz w:val="20"/>
          <w:szCs w:val="20"/>
        </w:rPr>
        <w:t xml:space="preserve"> 1 </w:t>
      </w:r>
      <w:proofErr w:type="spellStart"/>
      <w:r w:rsidR="003A001F">
        <w:rPr>
          <w:b/>
          <w:sz w:val="20"/>
          <w:szCs w:val="20"/>
        </w:rPr>
        <w:t>year</w:t>
      </w:r>
      <w:proofErr w:type="spellEnd"/>
      <w:r w:rsidR="003A001F">
        <w:rPr>
          <w:b/>
          <w:sz w:val="20"/>
          <w:szCs w:val="20"/>
        </w:rPr>
        <w:t xml:space="preserve"> </w:t>
      </w:r>
      <w:proofErr w:type="spellStart"/>
      <w:r w:rsidR="003A001F">
        <w:rPr>
          <w:b/>
          <w:sz w:val="20"/>
          <w:szCs w:val="20"/>
        </w:rPr>
        <w:t>Renewal</w:t>
      </w:r>
      <w:proofErr w:type="spellEnd"/>
      <w:r w:rsidR="003A001F">
        <w:rPr>
          <w:b/>
          <w:sz w:val="20"/>
          <w:szCs w:val="20"/>
        </w:rPr>
        <w:t xml:space="preserve"> </w:t>
      </w:r>
      <w:proofErr w:type="spellStart"/>
      <w:r w:rsidR="003A001F">
        <w:rPr>
          <w:b/>
          <w:sz w:val="20"/>
          <w:szCs w:val="20"/>
        </w:rPr>
        <w:t>License</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A001F">
        <w:rPr>
          <w:b/>
          <w:kern w:val="32"/>
          <w:sz w:val="20"/>
          <w:szCs w:val="20"/>
        </w:rPr>
        <w:t>182-21н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A001F">
        <w:rPr>
          <w:sz w:val="19"/>
          <w:szCs w:val="19"/>
        </w:rPr>
        <w:t>182-21н</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3A001F">
        <w:rPr>
          <w:b/>
          <w:bCs/>
          <w:sz w:val="19"/>
          <w:szCs w:val="19"/>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
          <w:bCs/>
          <w:sz w:val="19"/>
          <w:szCs w:val="19"/>
        </w:rPr>
        <w:t>Kaspersky</w:t>
      </w:r>
      <w:proofErr w:type="spellEnd"/>
      <w:r w:rsidR="003A001F">
        <w:rPr>
          <w:b/>
          <w:bCs/>
          <w:sz w:val="19"/>
          <w:szCs w:val="19"/>
        </w:rPr>
        <w:t xml:space="preserve"> EDR для бизнеса - </w:t>
      </w:r>
      <w:proofErr w:type="gramStart"/>
      <w:r w:rsidR="003A001F">
        <w:rPr>
          <w:b/>
          <w:bCs/>
          <w:sz w:val="19"/>
          <w:szCs w:val="19"/>
        </w:rPr>
        <w:t>Оптимальный</w:t>
      </w:r>
      <w:proofErr w:type="gramEnd"/>
      <w:r w:rsidR="003A001F">
        <w:rPr>
          <w:b/>
          <w:bCs/>
          <w:sz w:val="19"/>
          <w:szCs w:val="19"/>
        </w:rPr>
        <w:t xml:space="preserve"> </w:t>
      </w:r>
      <w:proofErr w:type="spellStart"/>
      <w:r w:rsidR="003A001F">
        <w:rPr>
          <w:b/>
          <w:bCs/>
          <w:sz w:val="19"/>
          <w:szCs w:val="19"/>
        </w:rPr>
        <w:t>Russian</w:t>
      </w:r>
      <w:proofErr w:type="spellEnd"/>
      <w:r w:rsidR="003A001F">
        <w:rPr>
          <w:b/>
          <w:bCs/>
          <w:sz w:val="19"/>
          <w:szCs w:val="19"/>
        </w:rPr>
        <w:t xml:space="preserve"> </w:t>
      </w:r>
      <w:proofErr w:type="spellStart"/>
      <w:r w:rsidR="003A001F">
        <w:rPr>
          <w:b/>
          <w:bCs/>
          <w:sz w:val="19"/>
          <w:szCs w:val="19"/>
        </w:rPr>
        <w:t>Edition</w:t>
      </w:r>
      <w:proofErr w:type="spellEnd"/>
      <w:r w:rsidR="003A001F">
        <w:rPr>
          <w:b/>
          <w:bCs/>
          <w:sz w:val="19"/>
          <w:szCs w:val="19"/>
        </w:rPr>
        <w:t xml:space="preserve">. 500-999 </w:t>
      </w:r>
      <w:proofErr w:type="spellStart"/>
      <w:r w:rsidR="003A001F">
        <w:rPr>
          <w:b/>
          <w:bCs/>
          <w:sz w:val="19"/>
          <w:szCs w:val="19"/>
        </w:rPr>
        <w:t>Node</w:t>
      </w:r>
      <w:proofErr w:type="spellEnd"/>
      <w:r w:rsidR="003A001F">
        <w:rPr>
          <w:b/>
          <w:bCs/>
          <w:sz w:val="19"/>
          <w:szCs w:val="19"/>
        </w:rPr>
        <w:t xml:space="preserve"> 1 </w:t>
      </w:r>
      <w:proofErr w:type="spellStart"/>
      <w:r w:rsidR="003A001F">
        <w:rPr>
          <w:b/>
          <w:bCs/>
          <w:sz w:val="19"/>
          <w:szCs w:val="19"/>
        </w:rPr>
        <w:t>year</w:t>
      </w:r>
      <w:proofErr w:type="spellEnd"/>
      <w:r w:rsidR="003A001F">
        <w:rPr>
          <w:b/>
          <w:bCs/>
          <w:sz w:val="19"/>
          <w:szCs w:val="19"/>
        </w:rPr>
        <w:t xml:space="preserve"> </w:t>
      </w:r>
      <w:proofErr w:type="spellStart"/>
      <w:r w:rsidR="003A001F">
        <w:rPr>
          <w:b/>
          <w:bCs/>
          <w:sz w:val="19"/>
          <w:szCs w:val="19"/>
        </w:rPr>
        <w:t>Renewal</w:t>
      </w:r>
      <w:proofErr w:type="spellEnd"/>
      <w:r w:rsidR="003A001F">
        <w:rPr>
          <w:b/>
          <w:bCs/>
          <w:sz w:val="19"/>
          <w:szCs w:val="19"/>
        </w:rPr>
        <w:t xml:space="preserve"> </w:t>
      </w:r>
      <w:proofErr w:type="spellStart"/>
      <w:r w:rsidR="003A001F">
        <w:rPr>
          <w:b/>
          <w:bCs/>
          <w:sz w:val="19"/>
          <w:szCs w:val="19"/>
        </w:rPr>
        <w:t>License</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3A001F">
        <w:rPr>
          <w:rFonts w:ascii="Times New Roman" w:hAnsi="Times New Roman" w:cs="Times New Roman"/>
          <w:sz w:val="19"/>
          <w:szCs w:val="19"/>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rFonts w:ascii="Times New Roman" w:hAnsi="Times New Roman" w:cs="Times New Roman"/>
          <w:sz w:val="19"/>
          <w:szCs w:val="19"/>
        </w:rPr>
        <w:t>Kaspersky</w:t>
      </w:r>
      <w:proofErr w:type="spellEnd"/>
      <w:r w:rsidR="003A001F">
        <w:rPr>
          <w:rFonts w:ascii="Times New Roman" w:hAnsi="Times New Roman" w:cs="Times New Roman"/>
          <w:sz w:val="19"/>
          <w:szCs w:val="19"/>
        </w:rPr>
        <w:t xml:space="preserve"> EDR для бизнеса - Оптимальный </w:t>
      </w:r>
      <w:proofErr w:type="spellStart"/>
      <w:r w:rsidR="003A001F">
        <w:rPr>
          <w:rFonts w:ascii="Times New Roman" w:hAnsi="Times New Roman" w:cs="Times New Roman"/>
          <w:sz w:val="19"/>
          <w:szCs w:val="19"/>
        </w:rPr>
        <w:t>Russian</w:t>
      </w:r>
      <w:proofErr w:type="spellEnd"/>
      <w:r w:rsidR="003A001F">
        <w:rPr>
          <w:rFonts w:ascii="Times New Roman" w:hAnsi="Times New Roman" w:cs="Times New Roman"/>
          <w:sz w:val="19"/>
          <w:szCs w:val="19"/>
        </w:rPr>
        <w:t xml:space="preserve"> </w:t>
      </w:r>
      <w:proofErr w:type="spellStart"/>
      <w:r w:rsidR="003A001F">
        <w:rPr>
          <w:rFonts w:ascii="Times New Roman" w:hAnsi="Times New Roman" w:cs="Times New Roman"/>
          <w:sz w:val="19"/>
          <w:szCs w:val="19"/>
        </w:rPr>
        <w:t>Edition</w:t>
      </w:r>
      <w:proofErr w:type="spellEnd"/>
      <w:r w:rsidR="003A001F">
        <w:rPr>
          <w:rFonts w:ascii="Times New Roman" w:hAnsi="Times New Roman" w:cs="Times New Roman"/>
          <w:sz w:val="19"/>
          <w:szCs w:val="19"/>
        </w:rPr>
        <w:t xml:space="preserve">. 500-999 </w:t>
      </w:r>
      <w:proofErr w:type="spellStart"/>
      <w:r w:rsidR="003A001F">
        <w:rPr>
          <w:rFonts w:ascii="Times New Roman" w:hAnsi="Times New Roman" w:cs="Times New Roman"/>
          <w:sz w:val="19"/>
          <w:szCs w:val="19"/>
        </w:rPr>
        <w:t>Node</w:t>
      </w:r>
      <w:proofErr w:type="spellEnd"/>
      <w:r w:rsidR="003A001F">
        <w:rPr>
          <w:rFonts w:ascii="Times New Roman" w:hAnsi="Times New Roman" w:cs="Times New Roman"/>
          <w:sz w:val="19"/>
          <w:szCs w:val="19"/>
        </w:rPr>
        <w:t xml:space="preserve"> 1 </w:t>
      </w:r>
      <w:proofErr w:type="spellStart"/>
      <w:r w:rsidR="003A001F">
        <w:rPr>
          <w:rFonts w:ascii="Times New Roman" w:hAnsi="Times New Roman" w:cs="Times New Roman"/>
          <w:sz w:val="19"/>
          <w:szCs w:val="19"/>
        </w:rPr>
        <w:t>year</w:t>
      </w:r>
      <w:proofErr w:type="spellEnd"/>
      <w:r w:rsidR="003A001F">
        <w:rPr>
          <w:rFonts w:ascii="Times New Roman" w:hAnsi="Times New Roman" w:cs="Times New Roman"/>
          <w:sz w:val="19"/>
          <w:szCs w:val="19"/>
        </w:rPr>
        <w:t xml:space="preserve"> </w:t>
      </w:r>
      <w:proofErr w:type="spellStart"/>
      <w:r w:rsidR="003A001F">
        <w:rPr>
          <w:rFonts w:ascii="Times New Roman" w:hAnsi="Times New Roman" w:cs="Times New Roman"/>
          <w:sz w:val="19"/>
          <w:szCs w:val="19"/>
        </w:rPr>
        <w:t>Renewal</w:t>
      </w:r>
      <w:proofErr w:type="spellEnd"/>
      <w:r w:rsidR="003A001F">
        <w:rPr>
          <w:rFonts w:ascii="Times New Roman" w:hAnsi="Times New Roman" w:cs="Times New Roman"/>
          <w:sz w:val="19"/>
          <w:szCs w:val="19"/>
        </w:rPr>
        <w:t xml:space="preserve"> </w:t>
      </w:r>
      <w:proofErr w:type="spellStart"/>
      <w:r w:rsidR="003A001F">
        <w:rPr>
          <w:rFonts w:ascii="Times New Roman" w:hAnsi="Times New Roman" w:cs="Times New Roman"/>
          <w:sz w:val="19"/>
          <w:szCs w:val="19"/>
        </w:rPr>
        <w:t>License</w:t>
      </w:r>
      <w:proofErr w:type="spellEnd"/>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w:t>
      </w:r>
      <w:proofErr w:type="gramStart"/>
      <w:r w:rsidRPr="007B472B">
        <w:rPr>
          <w:sz w:val="19"/>
          <w:szCs w:val="19"/>
        </w:rPr>
        <w:t>г</w:t>
      </w:r>
      <w:proofErr w:type="gramEnd"/>
      <w:r w:rsidRPr="007B472B">
        <w:rPr>
          <w:sz w:val="19"/>
          <w:szCs w:val="19"/>
        </w:rPr>
        <w:t xml:space="preserve">. Иркутск: </w:t>
      </w:r>
      <w:r w:rsidR="00776719">
        <w:rPr>
          <w:sz w:val="19"/>
          <w:szCs w:val="19"/>
        </w:rPr>
        <w:t>ул. Ярославского, 300</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E2058B">
        <w:rPr>
          <w:sz w:val="19"/>
          <w:szCs w:val="19"/>
        </w:rPr>
        <w:t>Срок</w:t>
      </w:r>
      <w:r w:rsidR="00335925" w:rsidRPr="00DF745F">
        <w:rPr>
          <w:sz w:val="19"/>
          <w:szCs w:val="19"/>
        </w:rPr>
        <w:t xml:space="preserve"> </w:t>
      </w:r>
      <w:r w:rsidRPr="00DF745F">
        <w:rPr>
          <w:sz w:val="19"/>
          <w:szCs w:val="19"/>
        </w:rPr>
        <w:t xml:space="preserve">оказания услуг по настоящему договору: </w:t>
      </w:r>
      <w:r w:rsidR="00E2058B">
        <w:rPr>
          <w:sz w:val="19"/>
          <w:szCs w:val="19"/>
        </w:rPr>
        <w:t xml:space="preserve">в течение 30 (тридцати) календарных дней </w:t>
      </w:r>
      <w:r w:rsidR="00DF745F" w:rsidRPr="00DF745F">
        <w:rPr>
          <w:sz w:val="19"/>
          <w:szCs w:val="19"/>
        </w:rPr>
        <w:t>с мом</w:t>
      </w:r>
      <w:r w:rsidR="00BD437B">
        <w:rPr>
          <w:sz w:val="19"/>
          <w:szCs w:val="19"/>
        </w:rPr>
        <w:t>ента подписания договора</w:t>
      </w:r>
      <w:r w:rsidRPr="00DF745F">
        <w:rPr>
          <w:sz w:val="19"/>
          <w:szCs w:val="19"/>
        </w:rPr>
        <w:t>.</w:t>
      </w: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w:t>
      </w:r>
      <w:r w:rsidR="00BD0D1F" w:rsidRPr="009D07DD">
        <w:rPr>
          <w:sz w:val="19"/>
          <w:szCs w:val="19"/>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00BD0D1F" w:rsidRPr="009D07DD">
        <w:rPr>
          <w:sz w:val="19"/>
          <w:szCs w:val="19"/>
        </w:rPr>
        <w:t>дств с р</w:t>
      </w:r>
      <w:proofErr w:type="gramEnd"/>
      <w:r w:rsidR="00BD0D1F" w:rsidRPr="009D07DD">
        <w:rPr>
          <w:sz w:val="19"/>
          <w:szCs w:val="19"/>
        </w:rPr>
        <w:t>асчетного счета Заказчика</w:t>
      </w:r>
      <w:r w:rsidRPr="009B021D">
        <w:rPr>
          <w:sz w:val="19"/>
          <w:szCs w:val="19"/>
        </w:rPr>
        <w:t>.</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9B021D">
        <w:rPr>
          <w:rFonts w:ascii="Times New Roman" w:hAnsi="Times New Roman"/>
          <w:sz w:val="19"/>
          <w:szCs w:val="19"/>
        </w:rPr>
        <w:lastRenderedPageBreak/>
        <w:t>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BD437B" w:rsidRPr="002D56C2" w:rsidRDefault="00BD437B" w:rsidP="00BD437B">
      <w:pPr>
        <w:pStyle w:val="af5"/>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xml:space="preserve">. </w:t>
      </w:r>
      <w:r>
        <w:rPr>
          <w:rFonts w:ascii="Times New Roman" w:hAnsi="Times New Roman"/>
          <w:b/>
          <w:sz w:val="19"/>
          <w:szCs w:val="19"/>
        </w:rPr>
        <w:t>Обеспечение исполнения договора</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BD437B"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BD437B"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BD437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BD437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BD437B"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BD437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BD437B"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BD437B"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BD437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BD437B" w:rsidP="00E94A4D">
      <w:pPr>
        <w:pStyle w:val="af1"/>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BD437B"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BD437B"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BD437B"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w:t>
      </w:r>
      <w:proofErr w:type="gramStart"/>
      <w:r w:rsidR="00E94A4D" w:rsidRPr="009B021D">
        <w:rPr>
          <w:rFonts w:ascii="Times New Roman" w:hAnsi="Times New Roman"/>
          <w:sz w:val="19"/>
          <w:szCs w:val="19"/>
        </w:rPr>
        <w:t>ств ст</w:t>
      </w:r>
      <w:proofErr w:type="gramEnd"/>
      <w:r w:rsidR="00E94A4D"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BD437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ind w:left="615"/>
        <w:jc w:val="center"/>
        <w:rPr>
          <w:b/>
          <w:sz w:val="19"/>
          <w:szCs w:val="19"/>
        </w:rPr>
      </w:pPr>
      <w:r w:rsidRPr="009B021D">
        <w:rPr>
          <w:b/>
          <w:sz w:val="19"/>
          <w:szCs w:val="19"/>
        </w:rPr>
        <w:t>1</w:t>
      </w:r>
      <w:r w:rsidR="00BD437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 xml:space="preserve">Отделение Иркутск//УФК по Иркутской области, </w:t>
            </w:r>
            <w:proofErr w:type="gramStart"/>
            <w:r w:rsidRPr="00C77360">
              <w:rPr>
                <w:sz w:val="19"/>
                <w:szCs w:val="19"/>
              </w:rPr>
              <w:t>г</w:t>
            </w:r>
            <w:proofErr w:type="gramEnd"/>
            <w:r w:rsidRPr="00C77360">
              <w:rPr>
                <w:sz w:val="19"/>
                <w:szCs w:val="19"/>
              </w:rPr>
              <w:t>.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A001F">
        <w:rPr>
          <w:sz w:val="20"/>
          <w:szCs w:val="20"/>
        </w:rPr>
        <w:t>182-21н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BD437B" w:rsidRPr="00F84809" w:rsidRDefault="00BD437B" w:rsidP="00CB594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BD437B" w:rsidRPr="00DA1FB1" w:rsidRDefault="00BD437B" w:rsidP="005B0EA0">
            <w:pPr>
              <w:shd w:val="clear" w:color="auto" w:fill="FFFFFF"/>
              <w:rPr>
                <w:color w:val="000000"/>
                <w:sz w:val="20"/>
                <w:szCs w:val="20"/>
              </w:rPr>
            </w:pPr>
            <w:r w:rsidRPr="00DA1FB1">
              <w:rPr>
                <w:bCs/>
                <w:sz w:val="20"/>
                <w:szCs w:val="20"/>
              </w:rPr>
              <w:t xml:space="preserve">Оказание услуг </w:t>
            </w:r>
            <w:r w:rsidR="003A001F">
              <w:rPr>
                <w:bCs/>
                <w:sz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Cs/>
                <w:sz w:val="20"/>
              </w:rPr>
              <w:t>Kaspersky</w:t>
            </w:r>
            <w:proofErr w:type="spellEnd"/>
            <w:r w:rsidR="003A001F">
              <w:rPr>
                <w:bCs/>
                <w:sz w:val="20"/>
              </w:rPr>
              <w:t xml:space="preserve"> EDR для бизнеса - </w:t>
            </w:r>
            <w:proofErr w:type="gramStart"/>
            <w:r w:rsidR="003A001F">
              <w:rPr>
                <w:bCs/>
                <w:sz w:val="20"/>
              </w:rPr>
              <w:t>Оптимальный</w:t>
            </w:r>
            <w:proofErr w:type="gramEnd"/>
            <w:r w:rsidR="003A001F">
              <w:rPr>
                <w:bCs/>
                <w:sz w:val="20"/>
              </w:rPr>
              <w:t xml:space="preserve"> </w:t>
            </w:r>
            <w:proofErr w:type="spellStart"/>
            <w:r w:rsidR="003A001F">
              <w:rPr>
                <w:bCs/>
                <w:sz w:val="20"/>
              </w:rPr>
              <w:t>Russian</w:t>
            </w:r>
            <w:proofErr w:type="spellEnd"/>
            <w:r w:rsidR="003A001F">
              <w:rPr>
                <w:bCs/>
                <w:sz w:val="20"/>
              </w:rPr>
              <w:t xml:space="preserve"> </w:t>
            </w:r>
            <w:proofErr w:type="spellStart"/>
            <w:r w:rsidR="003A001F">
              <w:rPr>
                <w:bCs/>
                <w:sz w:val="20"/>
              </w:rPr>
              <w:t>Edition</w:t>
            </w:r>
            <w:proofErr w:type="spellEnd"/>
            <w:r w:rsidR="003A001F">
              <w:rPr>
                <w:bCs/>
                <w:sz w:val="20"/>
              </w:rPr>
              <w:t xml:space="preserve">. 500-999 </w:t>
            </w:r>
            <w:proofErr w:type="spellStart"/>
            <w:r w:rsidR="003A001F">
              <w:rPr>
                <w:bCs/>
                <w:sz w:val="20"/>
              </w:rPr>
              <w:t>Node</w:t>
            </w:r>
            <w:proofErr w:type="spellEnd"/>
            <w:r w:rsidR="003A001F">
              <w:rPr>
                <w:bCs/>
                <w:sz w:val="20"/>
              </w:rPr>
              <w:t xml:space="preserve"> 1 </w:t>
            </w:r>
            <w:proofErr w:type="spellStart"/>
            <w:r w:rsidR="003A001F">
              <w:rPr>
                <w:bCs/>
                <w:sz w:val="20"/>
              </w:rPr>
              <w:t>year</w:t>
            </w:r>
            <w:proofErr w:type="spellEnd"/>
            <w:r w:rsidR="003A001F">
              <w:rPr>
                <w:bCs/>
                <w:sz w:val="20"/>
              </w:rPr>
              <w:t xml:space="preserve"> </w:t>
            </w:r>
            <w:proofErr w:type="spellStart"/>
            <w:r w:rsidR="003A001F">
              <w:rPr>
                <w:bCs/>
                <w:sz w:val="20"/>
              </w:rPr>
              <w:t>Renewal</w:t>
            </w:r>
            <w:proofErr w:type="spellEnd"/>
            <w:r w:rsidR="003A001F">
              <w:rPr>
                <w:bCs/>
                <w:sz w:val="20"/>
              </w:rPr>
              <w:t xml:space="preserve"> </w:t>
            </w:r>
            <w:proofErr w:type="spellStart"/>
            <w:r w:rsidR="003A001F">
              <w:rPr>
                <w:bCs/>
                <w:sz w:val="20"/>
              </w:rPr>
              <w:t>License</w:t>
            </w:r>
            <w:proofErr w:type="spellEnd"/>
          </w:p>
        </w:tc>
        <w:tc>
          <w:tcPr>
            <w:tcW w:w="4111" w:type="dxa"/>
            <w:tcBorders>
              <w:top w:val="nil"/>
              <w:left w:val="nil"/>
              <w:bottom w:val="single" w:sz="4" w:space="0" w:color="auto"/>
              <w:right w:val="single" w:sz="4" w:space="0" w:color="auto"/>
            </w:tcBorders>
            <w:shd w:val="clear" w:color="auto" w:fill="auto"/>
          </w:tcPr>
          <w:p w:rsidR="00BD437B" w:rsidRPr="00F84809" w:rsidRDefault="00BD437B" w:rsidP="00CB594F">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D437B" w:rsidRPr="00651D85" w:rsidRDefault="00E2058B" w:rsidP="00CB594F">
            <w:pPr>
              <w:jc w:val="center"/>
              <w:rPr>
                <w:color w:val="000000"/>
                <w:sz w:val="19"/>
                <w:szCs w:val="19"/>
              </w:rPr>
            </w:pPr>
            <w:r>
              <w:rPr>
                <w:color w:val="000000"/>
                <w:sz w:val="19"/>
                <w:szCs w:val="19"/>
              </w:rPr>
              <w:t>Шт.</w:t>
            </w:r>
          </w:p>
        </w:tc>
        <w:tc>
          <w:tcPr>
            <w:tcW w:w="850" w:type="dxa"/>
            <w:tcBorders>
              <w:top w:val="single" w:sz="4" w:space="0" w:color="auto"/>
              <w:left w:val="nil"/>
              <w:bottom w:val="single" w:sz="4" w:space="0" w:color="auto"/>
              <w:right w:val="single" w:sz="4" w:space="0" w:color="auto"/>
            </w:tcBorders>
          </w:tcPr>
          <w:p w:rsidR="00BD437B" w:rsidRPr="00651D85" w:rsidRDefault="00E2058B" w:rsidP="00CB594F">
            <w:pPr>
              <w:pStyle w:val="af9"/>
              <w:jc w:val="center"/>
              <w:rPr>
                <w:rFonts w:ascii="Times New Roman" w:hAnsi="Times New Roman"/>
                <w:sz w:val="19"/>
                <w:szCs w:val="19"/>
              </w:rPr>
            </w:pPr>
            <w:r>
              <w:rPr>
                <w:rFonts w:ascii="Times New Roman" w:hAnsi="Times New Roman"/>
                <w:sz w:val="19"/>
                <w:szCs w:val="19"/>
              </w:rPr>
              <w:t>620</w:t>
            </w:r>
          </w:p>
        </w:tc>
        <w:tc>
          <w:tcPr>
            <w:tcW w:w="1205" w:type="dxa"/>
            <w:tcBorders>
              <w:top w:val="single" w:sz="4" w:space="0" w:color="auto"/>
              <w:left w:val="nil"/>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2058B" w:rsidRDefault="00E2058B" w:rsidP="00E2058B">
      <w:pPr>
        <w:pStyle w:val="41"/>
        <w:contextualSpacing/>
        <w:jc w:val="both"/>
        <w:rPr>
          <w:b/>
          <w:sz w:val="20"/>
          <w:szCs w:val="20"/>
        </w:rPr>
      </w:pPr>
      <w:r>
        <w:rPr>
          <w:b/>
          <w:sz w:val="20"/>
          <w:szCs w:val="20"/>
        </w:rPr>
        <w:t>1. Условия оказания услуг:</w:t>
      </w:r>
    </w:p>
    <w:p w:rsidR="00E2058B" w:rsidRPr="00CC4F27" w:rsidRDefault="00E2058B" w:rsidP="00E2058B">
      <w:pPr>
        <w:widowControl w:val="0"/>
        <w:suppressLineNumbers/>
        <w:tabs>
          <w:tab w:val="left" w:pos="72"/>
          <w:tab w:val="left" w:pos="142"/>
        </w:tabs>
        <w:suppressAutoHyphens/>
        <w:ind w:firstLine="709"/>
        <w:jc w:val="both"/>
        <w:rPr>
          <w:color w:val="000000"/>
          <w:sz w:val="22"/>
          <w:szCs w:val="22"/>
        </w:rPr>
      </w:pPr>
      <w:r>
        <w:rPr>
          <w:color w:val="000000"/>
          <w:sz w:val="22"/>
          <w:szCs w:val="22"/>
        </w:rPr>
        <w:t>1.</w:t>
      </w:r>
      <w:r w:rsidRPr="00CC4F27">
        <w:rPr>
          <w:color w:val="000000"/>
          <w:sz w:val="22"/>
          <w:szCs w:val="22"/>
        </w:rPr>
        <w:t>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w:t>
      </w:r>
      <w:r>
        <w:rPr>
          <w:color w:val="000000"/>
          <w:sz w:val="22"/>
          <w:szCs w:val="22"/>
        </w:rPr>
        <w:t>,</w:t>
      </w:r>
      <w:r w:rsidRPr="00CC4F27">
        <w:rPr>
          <w:color w:val="000000"/>
          <w:sz w:val="22"/>
          <w:szCs w:val="22"/>
        </w:rPr>
        <w:t xml:space="preserve"> подтверждающими их оригинальность.</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2. Лицензиат</w:t>
      </w:r>
      <w:r>
        <w:rPr>
          <w:color w:val="000000"/>
          <w:sz w:val="22"/>
          <w:szCs w:val="22"/>
        </w:rPr>
        <w:t xml:space="preserve"> </w:t>
      </w:r>
      <w:r w:rsidRPr="00CC4F27">
        <w:rPr>
          <w:color w:val="000000"/>
          <w:sz w:val="22"/>
          <w:szCs w:val="22"/>
        </w:rPr>
        <w:t xml:space="preserve">должен </w:t>
      </w:r>
      <w:proofErr w:type="gramStart"/>
      <w:r w:rsidRPr="00CC4F27">
        <w:rPr>
          <w:color w:val="000000"/>
          <w:sz w:val="22"/>
          <w:szCs w:val="22"/>
        </w:rPr>
        <w:t>предоставить документы</w:t>
      </w:r>
      <w:proofErr w:type="gramEnd"/>
      <w:r w:rsidRPr="00CC4F27">
        <w:rPr>
          <w:color w:val="000000"/>
          <w:sz w:val="22"/>
          <w:szCs w:val="22"/>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4. Лицензиат должен предоставить продление неисключительных прав на антивирусное программное обеспечение, в полном объеме.</w:t>
      </w:r>
    </w:p>
    <w:p w:rsidR="00E2058B" w:rsidRPr="00CC4F27" w:rsidRDefault="00E2058B" w:rsidP="00E2058B">
      <w:pPr>
        <w:widowControl w:val="0"/>
        <w:suppressLineNumbers/>
        <w:tabs>
          <w:tab w:val="left" w:pos="72"/>
          <w:tab w:val="left" w:pos="142"/>
        </w:tabs>
        <w:suppressAutoHyphens/>
        <w:jc w:val="both"/>
        <w:rPr>
          <w:color w:val="000000"/>
          <w:sz w:val="22"/>
          <w:szCs w:val="22"/>
        </w:rPr>
      </w:pPr>
      <w:r w:rsidRPr="00CC4F27">
        <w:rPr>
          <w:color w:val="000000"/>
          <w:sz w:val="22"/>
          <w:szCs w:val="22"/>
        </w:rPr>
        <w:tab/>
      </w:r>
      <w:r w:rsidRPr="00CC4F27">
        <w:rPr>
          <w:color w:val="000000"/>
          <w:sz w:val="22"/>
          <w:szCs w:val="22"/>
        </w:rPr>
        <w:tab/>
      </w:r>
      <w:r w:rsidRPr="00CC4F27">
        <w:rPr>
          <w:color w:val="000000"/>
          <w:sz w:val="22"/>
          <w:szCs w:val="22"/>
        </w:rPr>
        <w:tab/>
      </w:r>
      <w:r>
        <w:rPr>
          <w:color w:val="000000"/>
          <w:sz w:val="22"/>
          <w:szCs w:val="22"/>
        </w:rPr>
        <w:t>1.</w:t>
      </w:r>
      <w:r w:rsidRPr="00CC4F27">
        <w:rPr>
          <w:color w:val="000000"/>
          <w:sz w:val="22"/>
          <w:szCs w:val="22"/>
        </w:rPr>
        <w:t xml:space="preserve">5. Неисключительные права на использование программного обеспечения переходят к Сублицензиату с момента получения </w:t>
      </w:r>
      <w:proofErr w:type="gramStart"/>
      <w:r w:rsidRPr="00CC4F27">
        <w:rPr>
          <w:color w:val="000000"/>
          <w:sz w:val="22"/>
          <w:szCs w:val="22"/>
        </w:rPr>
        <w:t>от</w:t>
      </w:r>
      <w:proofErr w:type="gramEnd"/>
      <w:r w:rsidRPr="00CC4F27">
        <w:rPr>
          <w:color w:val="000000"/>
          <w:sz w:val="22"/>
          <w:szCs w:val="22"/>
        </w:rPr>
        <w:t xml:space="preserve"> </w:t>
      </w:r>
      <w:proofErr w:type="gramStart"/>
      <w:r w:rsidRPr="00CC4F27">
        <w:rPr>
          <w:color w:val="000000"/>
          <w:sz w:val="22"/>
          <w:szCs w:val="22"/>
        </w:rPr>
        <w:t>Лицензиату</w:t>
      </w:r>
      <w:proofErr w:type="gramEnd"/>
      <w:r w:rsidRPr="00CC4F27">
        <w:rPr>
          <w:color w:val="000000"/>
          <w:sz w:val="22"/>
          <w:szCs w:val="22"/>
        </w:rPr>
        <w:t xml:space="preserve"> ключевого файла и лицензионного соглашения (бумажный вариант) действуют в течение 1 года с момента активации ключевого файла.</w:t>
      </w:r>
    </w:p>
    <w:p w:rsidR="00E2058B" w:rsidRPr="00CC4F27" w:rsidRDefault="00E2058B" w:rsidP="00E2058B">
      <w:pPr>
        <w:widowControl w:val="0"/>
        <w:suppressLineNumbers/>
        <w:tabs>
          <w:tab w:val="left" w:pos="72"/>
          <w:tab w:val="left" w:pos="142"/>
        </w:tabs>
        <w:suppressAutoHyphens/>
        <w:ind w:firstLine="709"/>
        <w:jc w:val="both"/>
        <w:rPr>
          <w:color w:val="000000"/>
          <w:sz w:val="22"/>
          <w:szCs w:val="22"/>
        </w:rPr>
      </w:pPr>
      <w:r>
        <w:rPr>
          <w:color w:val="000000"/>
          <w:sz w:val="22"/>
          <w:szCs w:val="22"/>
        </w:rPr>
        <w:t>1.</w:t>
      </w:r>
      <w:r w:rsidRPr="00CC4F27">
        <w:rPr>
          <w:color w:val="000000"/>
          <w:sz w:val="22"/>
          <w:szCs w:val="22"/>
        </w:rPr>
        <w:t>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E2058B" w:rsidRDefault="00E2058B" w:rsidP="00E2058B">
      <w:pPr>
        <w:widowControl w:val="0"/>
        <w:suppressLineNumbers/>
        <w:tabs>
          <w:tab w:val="left" w:pos="72"/>
          <w:tab w:val="left" w:pos="142"/>
        </w:tabs>
        <w:suppressAutoHyphens/>
        <w:ind w:firstLine="709"/>
        <w:jc w:val="both"/>
        <w:rPr>
          <w:color w:val="000000"/>
          <w:sz w:val="22"/>
          <w:szCs w:val="22"/>
        </w:rPr>
      </w:pPr>
      <w:r>
        <w:rPr>
          <w:color w:val="000000"/>
          <w:sz w:val="22"/>
          <w:szCs w:val="22"/>
        </w:rPr>
        <w:t>1.</w:t>
      </w:r>
      <w:r w:rsidRPr="00CC4F27">
        <w:rPr>
          <w:color w:val="000000"/>
          <w:sz w:val="22"/>
          <w:szCs w:val="22"/>
        </w:rPr>
        <w:t>7. Срок предоставления гарантии качества: не менее 12 месяцев.</w:t>
      </w:r>
    </w:p>
    <w:p w:rsidR="00E2058B" w:rsidRDefault="00E2058B" w:rsidP="00E2058B">
      <w:pPr>
        <w:jc w:val="right"/>
        <w:rPr>
          <w:rFonts w:ascii="Cuprum" w:hAnsi="Cuprum" w:cs="Tahoma"/>
          <w:b/>
          <w:bCs/>
          <w:sz w:val="20"/>
          <w:szCs w:val="20"/>
        </w:rPr>
      </w:pPr>
    </w:p>
    <w:p w:rsidR="00E2058B" w:rsidRDefault="00E2058B" w:rsidP="00E2058B">
      <w:pPr>
        <w:jc w:val="right"/>
        <w:rPr>
          <w:rFonts w:ascii="Cuprum" w:hAnsi="Cuprum" w:cs="Tahoma"/>
          <w:b/>
          <w:bCs/>
          <w:sz w:val="20"/>
          <w:szCs w:val="20"/>
        </w:rPr>
      </w:pPr>
    </w:p>
    <w:p w:rsidR="00E2432F" w:rsidRPr="00BD0D1F" w:rsidRDefault="00E2432F" w:rsidP="00692044">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3A001F">
        <w:rPr>
          <w:b/>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
          <w:sz w:val="20"/>
          <w:szCs w:val="20"/>
        </w:rPr>
        <w:t>Kaspersky</w:t>
      </w:r>
      <w:proofErr w:type="spellEnd"/>
      <w:r w:rsidR="003A001F">
        <w:rPr>
          <w:b/>
          <w:sz w:val="20"/>
          <w:szCs w:val="20"/>
        </w:rPr>
        <w:t xml:space="preserve"> EDR для бизнеса - Оптимальный </w:t>
      </w:r>
      <w:proofErr w:type="spellStart"/>
      <w:r w:rsidR="003A001F">
        <w:rPr>
          <w:b/>
          <w:sz w:val="20"/>
          <w:szCs w:val="20"/>
        </w:rPr>
        <w:t>Russian</w:t>
      </w:r>
      <w:proofErr w:type="spellEnd"/>
      <w:r w:rsidR="003A001F">
        <w:rPr>
          <w:b/>
          <w:sz w:val="20"/>
          <w:szCs w:val="20"/>
        </w:rPr>
        <w:t xml:space="preserve"> </w:t>
      </w:r>
      <w:proofErr w:type="spellStart"/>
      <w:r w:rsidR="003A001F">
        <w:rPr>
          <w:b/>
          <w:sz w:val="20"/>
          <w:szCs w:val="20"/>
        </w:rPr>
        <w:t>Edition</w:t>
      </w:r>
      <w:proofErr w:type="spellEnd"/>
      <w:r w:rsidR="003A001F">
        <w:rPr>
          <w:b/>
          <w:sz w:val="20"/>
          <w:szCs w:val="20"/>
        </w:rPr>
        <w:t xml:space="preserve">. 500-999 </w:t>
      </w:r>
      <w:proofErr w:type="spellStart"/>
      <w:r w:rsidR="003A001F">
        <w:rPr>
          <w:b/>
          <w:sz w:val="20"/>
          <w:szCs w:val="20"/>
        </w:rPr>
        <w:t>Node</w:t>
      </w:r>
      <w:proofErr w:type="spellEnd"/>
      <w:r w:rsidR="003A001F">
        <w:rPr>
          <w:b/>
          <w:sz w:val="20"/>
          <w:szCs w:val="20"/>
        </w:rPr>
        <w:t xml:space="preserve"> 1 </w:t>
      </w:r>
      <w:proofErr w:type="spellStart"/>
      <w:r w:rsidR="003A001F">
        <w:rPr>
          <w:b/>
          <w:sz w:val="20"/>
          <w:szCs w:val="20"/>
        </w:rPr>
        <w:t>year</w:t>
      </w:r>
      <w:proofErr w:type="spellEnd"/>
      <w:r w:rsidR="003A001F">
        <w:rPr>
          <w:b/>
          <w:sz w:val="20"/>
          <w:szCs w:val="20"/>
        </w:rPr>
        <w:t xml:space="preserve"> </w:t>
      </w:r>
      <w:proofErr w:type="spellStart"/>
      <w:r w:rsidR="003A001F">
        <w:rPr>
          <w:b/>
          <w:sz w:val="20"/>
          <w:szCs w:val="20"/>
        </w:rPr>
        <w:t>Renewal</w:t>
      </w:r>
      <w:proofErr w:type="spellEnd"/>
      <w:r w:rsidR="003A001F">
        <w:rPr>
          <w:b/>
          <w:sz w:val="20"/>
          <w:szCs w:val="20"/>
        </w:rPr>
        <w:t xml:space="preserve"> </w:t>
      </w:r>
      <w:proofErr w:type="spellStart"/>
      <w:r w:rsidR="003A001F">
        <w:rPr>
          <w:b/>
          <w:sz w:val="20"/>
          <w:szCs w:val="20"/>
        </w:rPr>
        <w:t>License</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A001F">
        <w:rPr>
          <w:b/>
          <w:kern w:val="32"/>
          <w:sz w:val="20"/>
          <w:szCs w:val="20"/>
        </w:rPr>
        <w:t>182-21н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865039">
        <w:rPr>
          <w:sz w:val="20"/>
          <w:szCs w:val="20"/>
        </w:rPr>
        <w:t xml:space="preserve">оказание услуг </w:t>
      </w:r>
      <w:r w:rsidR="003A001F">
        <w:rPr>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sz w:val="20"/>
          <w:szCs w:val="20"/>
        </w:rPr>
        <w:t>Kaspersky</w:t>
      </w:r>
      <w:proofErr w:type="spellEnd"/>
      <w:r w:rsidR="003A001F">
        <w:rPr>
          <w:sz w:val="20"/>
          <w:szCs w:val="20"/>
        </w:rPr>
        <w:t xml:space="preserve"> EDR для бизнеса - </w:t>
      </w:r>
      <w:proofErr w:type="gramStart"/>
      <w:r w:rsidR="003A001F">
        <w:rPr>
          <w:sz w:val="20"/>
          <w:szCs w:val="20"/>
        </w:rPr>
        <w:t>Оптимальный</w:t>
      </w:r>
      <w:proofErr w:type="gramEnd"/>
      <w:r w:rsidR="003A001F">
        <w:rPr>
          <w:sz w:val="20"/>
          <w:szCs w:val="20"/>
        </w:rPr>
        <w:t xml:space="preserve"> </w:t>
      </w:r>
      <w:proofErr w:type="spellStart"/>
      <w:r w:rsidR="003A001F">
        <w:rPr>
          <w:sz w:val="20"/>
          <w:szCs w:val="20"/>
        </w:rPr>
        <w:t>Russian</w:t>
      </w:r>
      <w:proofErr w:type="spellEnd"/>
      <w:r w:rsidR="003A001F">
        <w:rPr>
          <w:sz w:val="20"/>
          <w:szCs w:val="20"/>
        </w:rPr>
        <w:t xml:space="preserve"> </w:t>
      </w:r>
      <w:proofErr w:type="spellStart"/>
      <w:r w:rsidR="003A001F">
        <w:rPr>
          <w:sz w:val="20"/>
          <w:szCs w:val="20"/>
        </w:rPr>
        <w:t>Edition</w:t>
      </w:r>
      <w:proofErr w:type="spellEnd"/>
      <w:r w:rsidR="003A001F">
        <w:rPr>
          <w:sz w:val="20"/>
          <w:szCs w:val="20"/>
        </w:rPr>
        <w:t xml:space="preserve">. 500-999 </w:t>
      </w:r>
      <w:proofErr w:type="spellStart"/>
      <w:r w:rsidR="003A001F">
        <w:rPr>
          <w:sz w:val="20"/>
          <w:szCs w:val="20"/>
        </w:rPr>
        <w:t>Node</w:t>
      </w:r>
      <w:proofErr w:type="spellEnd"/>
      <w:r w:rsidR="003A001F">
        <w:rPr>
          <w:sz w:val="20"/>
          <w:szCs w:val="20"/>
        </w:rPr>
        <w:t xml:space="preserve"> 1 </w:t>
      </w:r>
      <w:proofErr w:type="spellStart"/>
      <w:r w:rsidR="003A001F">
        <w:rPr>
          <w:sz w:val="20"/>
          <w:szCs w:val="20"/>
        </w:rPr>
        <w:t>year</w:t>
      </w:r>
      <w:proofErr w:type="spellEnd"/>
      <w:r w:rsidR="003A001F">
        <w:rPr>
          <w:sz w:val="20"/>
          <w:szCs w:val="20"/>
        </w:rPr>
        <w:t xml:space="preserve"> </w:t>
      </w:r>
      <w:proofErr w:type="spellStart"/>
      <w:r w:rsidR="003A001F">
        <w:rPr>
          <w:sz w:val="20"/>
          <w:szCs w:val="20"/>
        </w:rPr>
        <w:t>Renewal</w:t>
      </w:r>
      <w:proofErr w:type="spellEnd"/>
      <w:r w:rsidR="003A001F">
        <w:rPr>
          <w:sz w:val="20"/>
          <w:szCs w:val="20"/>
        </w:rPr>
        <w:t xml:space="preserve"> </w:t>
      </w:r>
      <w:proofErr w:type="spellStart"/>
      <w:r w:rsidR="003A001F">
        <w:rPr>
          <w:sz w:val="20"/>
          <w:szCs w:val="20"/>
        </w:rPr>
        <w:t>License</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 xml:space="preserve">на </w:t>
      </w:r>
      <w:r w:rsidR="00865039">
        <w:rPr>
          <w:sz w:val="20"/>
          <w:szCs w:val="20"/>
        </w:rPr>
        <w:t xml:space="preserve">оказание услуг </w:t>
      </w:r>
      <w:r w:rsidR="003A001F">
        <w:rPr>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sz w:val="20"/>
          <w:szCs w:val="20"/>
        </w:rPr>
        <w:t>Kaspersky</w:t>
      </w:r>
      <w:proofErr w:type="spellEnd"/>
      <w:r w:rsidR="003A001F">
        <w:rPr>
          <w:sz w:val="20"/>
          <w:szCs w:val="20"/>
        </w:rPr>
        <w:t xml:space="preserve"> EDR для бизнеса - Оптимальный </w:t>
      </w:r>
      <w:proofErr w:type="spellStart"/>
      <w:r w:rsidR="003A001F">
        <w:rPr>
          <w:sz w:val="20"/>
          <w:szCs w:val="20"/>
        </w:rPr>
        <w:t>Russian</w:t>
      </w:r>
      <w:proofErr w:type="spellEnd"/>
      <w:r w:rsidR="003A001F">
        <w:rPr>
          <w:sz w:val="20"/>
          <w:szCs w:val="20"/>
        </w:rPr>
        <w:t xml:space="preserve"> </w:t>
      </w:r>
      <w:proofErr w:type="spellStart"/>
      <w:r w:rsidR="003A001F">
        <w:rPr>
          <w:sz w:val="20"/>
          <w:szCs w:val="20"/>
        </w:rPr>
        <w:t>Edition</w:t>
      </w:r>
      <w:proofErr w:type="spellEnd"/>
      <w:r w:rsidR="003A001F">
        <w:rPr>
          <w:sz w:val="20"/>
          <w:szCs w:val="20"/>
        </w:rPr>
        <w:t xml:space="preserve">. 500-999 </w:t>
      </w:r>
      <w:proofErr w:type="spellStart"/>
      <w:r w:rsidR="003A001F">
        <w:rPr>
          <w:sz w:val="20"/>
          <w:szCs w:val="20"/>
        </w:rPr>
        <w:t>Node</w:t>
      </w:r>
      <w:proofErr w:type="spellEnd"/>
      <w:r w:rsidR="003A001F">
        <w:rPr>
          <w:sz w:val="20"/>
          <w:szCs w:val="20"/>
        </w:rPr>
        <w:t xml:space="preserve"> 1 </w:t>
      </w:r>
      <w:proofErr w:type="spellStart"/>
      <w:r w:rsidR="003A001F">
        <w:rPr>
          <w:sz w:val="20"/>
          <w:szCs w:val="20"/>
        </w:rPr>
        <w:t>year</w:t>
      </w:r>
      <w:proofErr w:type="spellEnd"/>
      <w:r w:rsidR="003A001F">
        <w:rPr>
          <w:sz w:val="20"/>
          <w:szCs w:val="20"/>
        </w:rPr>
        <w:t xml:space="preserve"> </w:t>
      </w:r>
      <w:proofErr w:type="spellStart"/>
      <w:r w:rsidR="003A001F">
        <w:rPr>
          <w:sz w:val="20"/>
          <w:szCs w:val="20"/>
        </w:rPr>
        <w:t>Renewal</w:t>
      </w:r>
      <w:proofErr w:type="spellEnd"/>
      <w:r w:rsidR="003A001F">
        <w:rPr>
          <w:sz w:val="20"/>
          <w:szCs w:val="20"/>
        </w:rPr>
        <w:t xml:space="preserve"> </w:t>
      </w:r>
      <w:proofErr w:type="spellStart"/>
      <w:r w:rsidR="003A001F">
        <w:rPr>
          <w:sz w:val="20"/>
          <w:szCs w:val="20"/>
        </w:rPr>
        <w:t>License</w:t>
      </w:r>
      <w:proofErr w:type="spellEnd"/>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w:t>
      </w:r>
      <w:proofErr w:type="gramEnd"/>
      <w:r w:rsidRPr="00A272FF">
        <w:rPr>
          <w:i/>
          <w:iCs/>
          <w:sz w:val="20"/>
          <w:szCs w:val="20"/>
          <w:u w:val="single"/>
        </w:rPr>
        <w:t xml:space="preserve">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3119"/>
        <w:gridCol w:w="993"/>
        <w:gridCol w:w="993"/>
        <w:gridCol w:w="991"/>
        <w:gridCol w:w="1205"/>
        <w:gridCol w:w="1205"/>
      </w:tblGrid>
      <w:tr w:rsidR="007E3F7E" w:rsidRPr="00651D85" w:rsidTr="00151DD7">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
                <w:bCs/>
                <w:sz w:val="19"/>
                <w:szCs w:val="19"/>
              </w:rPr>
            </w:pPr>
            <w:r w:rsidRPr="00651D85">
              <w:rPr>
                <w:b/>
                <w:bCs/>
                <w:sz w:val="19"/>
                <w:szCs w:val="19"/>
              </w:rPr>
              <w:t xml:space="preserve">Наименование услуг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8660F6">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3F7E" w:rsidRPr="00651D85" w:rsidRDefault="007E3F7E" w:rsidP="008660F6">
            <w:pPr>
              <w:jc w:val="center"/>
              <w:rPr>
                <w:b/>
                <w:bCs/>
                <w:sz w:val="19"/>
                <w:szCs w:val="19"/>
              </w:rPr>
            </w:pPr>
            <w:r w:rsidRPr="00651D85">
              <w:rPr>
                <w:b/>
                <w:bCs/>
                <w:sz w:val="19"/>
                <w:szCs w:val="19"/>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543D4A">
            <w:pPr>
              <w:jc w:val="center"/>
              <w:rPr>
                <w:b/>
                <w:bCs/>
                <w:sz w:val="19"/>
                <w:szCs w:val="19"/>
              </w:rPr>
            </w:pPr>
            <w:r>
              <w:rPr>
                <w:b/>
                <w:bCs/>
                <w:sz w:val="19"/>
                <w:szCs w:val="19"/>
              </w:rPr>
              <w:t>Страна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7E3F7E" w:rsidRDefault="007E3F7E"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543D4A">
            <w:pPr>
              <w:jc w:val="center"/>
              <w:rPr>
                <w:b/>
                <w:bCs/>
                <w:sz w:val="19"/>
                <w:szCs w:val="19"/>
              </w:rPr>
            </w:pPr>
            <w:r>
              <w:rPr>
                <w:b/>
                <w:bCs/>
                <w:sz w:val="19"/>
                <w:szCs w:val="19"/>
              </w:rPr>
              <w:t>С</w:t>
            </w:r>
            <w:r w:rsidRPr="00651D85">
              <w:rPr>
                <w:b/>
                <w:bCs/>
                <w:sz w:val="19"/>
                <w:szCs w:val="19"/>
              </w:rPr>
              <w:t>умма с НДС, руб.</w:t>
            </w:r>
          </w:p>
        </w:tc>
      </w:tr>
      <w:tr w:rsidR="007E3F7E" w:rsidRPr="00651D85" w:rsidTr="00151DD7">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F84809" w:rsidRDefault="007E3F7E" w:rsidP="00CB594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7E3F7E" w:rsidRPr="00DA1FB1" w:rsidRDefault="007E3F7E" w:rsidP="00151DD7">
            <w:pPr>
              <w:shd w:val="clear" w:color="auto" w:fill="FFFFFF"/>
              <w:rPr>
                <w:color w:val="000000"/>
                <w:sz w:val="20"/>
                <w:szCs w:val="20"/>
              </w:rPr>
            </w:pPr>
            <w:r w:rsidRPr="00DA1FB1">
              <w:rPr>
                <w:bCs/>
                <w:sz w:val="20"/>
                <w:szCs w:val="20"/>
              </w:rPr>
              <w:t xml:space="preserve">Оказание услуг </w:t>
            </w:r>
            <w:r w:rsidR="003A001F">
              <w:rPr>
                <w:bCs/>
                <w:sz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Cs/>
                <w:sz w:val="20"/>
              </w:rPr>
              <w:t>Kaspersky</w:t>
            </w:r>
            <w:proofErr w:type="spellEnd"/>
            <w:r w:rsidR="003A001F">
              <w:rPr>
                <w:bCs/>
                <w:sz w:val="20"/>
              </w:rPr>
              <w:t xml:space="preserve"> EDR для бизнеса - </w:t>
            </w:r>
            <w:proofErr w:type="gramStart"/>
            <w:r w:rsidR="003A001F">
              <w:rPr>
                <w:bCs/>
                <w:sz w:val="20"/>
              </w:rPr>
              <w:t>Оптимальный</w:t>
            </w:r>
            <w:proofErr w:type="gramEnd"/>
            <w:r w:rsidR="003A001F">
              <w:rPr>
                <w:bCs/>
                <w:sz w:val="20"/>
              </w:rPr>
              <w:t xml:space="preserve"> </w:t>
            </w:r>
            <w:proofErr w:type="spellStart"/>
            <w:r w:rsidR="003A001F">
              <w:rPr>
                <w:bCs/>
                <w:sz w:val="20"/>
              </w:rPr>
              <w:t>Russian</w:t>
            </w:r>
            <w:proofErr w:type="spellEnd"/>
            <w:r w:rsidR="003A001F">
              <w:rPr>
                <w:bCs/>
                <w:sz w:val="20"/>
              </w:rPr>
              <w:t xml:space="preserve"> </w:t>
            </w:r>
            <w:proofErr w:type="spellStart"/>
            <w:r w:rsidR="003A001F">
              <w:rPr>
                <w:bCs/>
                <w:sz w:val="20"/>
              </w:rPr>
              <w:t>Edition</w:t>
            </w:r>
            <w:proofErr w:type="spellEnd"/>
            <w:r w:rsidR="003A001F">
              <w:rPr>
                <w:bCs/>
                <w:sz w:val="20"/>
              </w:rPr>
              <w:t xml:space="preserve">. 500-999 </w:t>
            </w:r>
            <w:proofErr w:type="spellStart"/>
            <w:r w:rsidR="003A001F">
              <w:rPr>
                <w:bCs/>
                <w:sz w:val="20"/>
              </w:rPr>
              <w:t>Node</w:t>
            </w:r>
            <w:proofErr w:type="spellEnd"/>
            <w:r w:rsidR="003A001F">
              <w:rPr>
                <w:bCs/>
                <w:sz w:val="20"/>
              </w:rPr>
              <w:t xml:space="preserve"> 1 </w:t>
            </w:r>
            <w:proofErr w:type="spellStart"/>
            <w:r w:rsidR="003A001F">
              <w:rPr>
                <w:bCs/>
                <w:sz w:val="20"/>
              </w:rPr>
              <w:t>year</w:t>
            </w:r>
            <w:proofErr w:type="spellEnd"/>
            <w:r w:rsidR="003A001F">
              <w:rPr>
                <w:bCs/>
                <w:sz w:val="20"/>
              </w:rPr>
              <w:t xml:space="preserve"> </w:t>
            </w:r>
            <w:proofErr w:type="spellStart"/>
            <w:r w:rsidR="003A001F">
              <w:rPr>
                <w:bCs/>
                <w:sz w:val="20"/>
              </w:rPr>
              <w:t>Renewal</w:t>
            </w:r>
            <w:proofErr w:type="spellEnd"/>
            <w:r w:rsidR="003A001F">
              <w:rPr>
                <w:bCs/>
                <w:sz w:val="20"/>
              </w:rPr>
              <w:t xml:space="preserve"> </w:t>
            </w:r>
            <w:proofErr w:type="spellStart"/>
            <w:r w:rsidR="003A001F">
              <w:rPr>
                <w:bCs/>
                <w:sz w:val="20"/>
              </w:rPr>
              <w:t>License</w:t>
            </w:r>
            <w:proofErr w:type="spellEnd"/>
          </w:p>
        </w:tc>
        <w:tc>
          <w:tcPr>
            <w:tcW w:w="3119" w:type="dxa"/>
            <w:tcBorders>
              <w:top w:val="nil"/>
              <w:left w:val="nil"/>
              <w:bottom w:val="single" w:sz="4" w:space="0" w:color="auto"/>
              <w:right w:val="single" w:sz="4" w:space="0" w:color="auto"/>
            </w:tcBorders>
            <w:shd w:val="clear" w:color="auto" w:fill="auto"/>
            <w:hideMark/>
          </w:tcPr>
          <w:p w:rsidR="007E3F7E" w:rsidRPr="00F84809" w:rsidRDefault="007E3F7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7E3F7E" w:rsidRPr="00651D85" w:rsidRDefault="007E3F7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7E3F7E" w:rsidRPr="00651D85" w:rsidRDefault="007E3F7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7E3F7E" w:rsidRPr="00651D85" w:rsidRDefault="007E3F7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7E3F7E" w:rsidRPr="00651D85" w:rsidRDefault="007E3F7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E3F7E" w:rsidRPr="00651D85" w:rsidRDefault="007E3F7E" w:rsidP="000D65F6">
            <w:pPr>
              <w:pStyle w:val="af9"/>
              <w:jc w:val="center"/>
              <w:rPr>
                <w:bCs/>
                <w:sz w:val="19"/>
                <w:szCs w:val="19"/>
                <w:highlight w:val="yellow"/>
              </w:rPr>
            </w:pPr>
          </w:p>
        </w:tc>
      </w:tr>
      <w:tr w:rsidR="007E3F7E" w:rsidRPr="00651D85" w:rsidTr="00151DD7">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6807"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3401" w:type="dxa"/>
            <w:gridSpan w:val="3"/>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1DD7">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6807"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3401" w:type="dxa"/>
            <w:gridSpan w:val="3"/>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Pr="005A07FA" w:rsidRDefault="003D5B55" w:rsidP="003D5B55">
      <w:pPr>
        <w:jc w:val="right"/>
        <w:rPr>
          <w:rFonts w:ascii="Cuprum" w:hAnsi="Cuprum" w:cs="Tahoma"/>
          <w:b/>
          <w:bCs/>
          <w:sz w:val="20"/>
          <w:szCs w:val="20"/>
        </w:rPr>
      </w:pPr>
      <w:r w:rsidRPr="005A07FA">
        <w:rPr>
          <w:rFonts w:ascii="Cuprum" w:hAnsi="Cuprum" w:cs="Tahoma"/>
          <w:b/>
          <w:bCs/>
          <w:sz w:val="20"/>
          <w:szCs w:val="20"/>
        </w:rPr>
        <w:lastRenderedPageBreak/>
        <w:t xml:space="preserve">Приложение № </w:t>
      </w:r>
      <w:r>
        <w:rPr>
          <w:rFonts w:ascii="Cuprum" w:hAnsi="Cuprum" w:cs="Tahoma"/>
          <w:b/>
          <w:bCs/>
          <w:sz w:val="20"/>
          <w:szCs w:val="20"/>
        </w:rPr>
        <w:t>4</w:t>
      </w:r>
    </w:p>
    <w:p w:rsidR="003D5B55" w:rsidRPr="005A07FA" w:rsidRDefault="003D5B55" w:rsidP="003D5B55">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Извещению о проведении закупки</w:t>
      </w:r>
    </w:p>
    <w:p w:rsidR="003D5B55" w:rsidRPr="005A07FA" w:rsidRDefault="003D5B55" w:rsidP="003D5B55">
      <w:pPr>
        <w:jc w:val="right"/>
        <w:rPr>
          <w:b/>
          <w:kern w:val="32"/>
          <w:sz w:val="20"/>
          <w:szCs w:val="20"/>
        </w:rPr>
      </w:pPr>
      <w:r w:rsidRPr="005A07FA">
        <w:rPr>
          <w:b/>
          <w:kern w:val="32"/>
          <w:sz w:val="20"/>
          <w:szCs w:val="20"/>
        </w:rPr>
        <w:t>на</w:t>
      </w:r>
      <w:r>
        <w:rPr>
          <w:b/>
          <w:kern w:val="32"/>
          <w:sz w:val="20"/>
          <w:szCs w:val="20"/>
        </w:rPr>
        <w:t xml:space="preserve"> </w:t>
      </w:r>
      <w:r>
        <w:rPr>
          <w:b/>
          <w:sz w:val="20"/>
          <w:szCs w:val="20"/>
        </w:rPr>
        <w:t xml:space="preserve">оказание услуг </w:t>
      </w:r>
      <w:r w:rsidR="003A001F">
        <w:rPr>
          <w:b/>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3A001F">
        <w:rPr>
          <w:b/>
          <w:sz w:val="20"/>
          <w:szCs w:val="20"/>
        </w:rPr>
        <w:t>Kaspersky</w:t>
      </w:r>
      <w:proofErr w:type="spellEnd"/>
      <w:r w:rsidR="003A001F">
        <w:rPr>
          <w:b/>
          <w:sz w:val="20"/>
          <w:szCs w:val="20"/>
        </w:rPr>
        <w:t xml:space="preserve"> EDR для бизнеса - Оптимальный </w:t>
      </w:r>
      <w:proofErr w:type="spellStart"/>
      <w:r w:rsidR="003A001F">
        <w:rPr>
          <w:b/>
          <w:sz w:val="20"/>
          <w:szCs w:val="20"/>
        </w:rPr>
        <w:t>Russian</w:t>
      </w:r>
      <w:proofErr w:type="spellEnd"/>
      <w:r w:rsidR="003A001F">
        <w:rPr>
          <w:b/>
          <w:sz w:val="20"/>
          <w:szCs w:val="20"/>
        </w:rPr>
        <w:t xml:space="preserve"> </w:t>
      </w:r>
      <w:proofErr w:type="spellStart"/>
      <w:r w:rsidR="003A001F">
        <w:rPr>
          <w:b/>
          <w:sz w:val="20"/>
          <w:szCs w:val="20"/>
        </w:rPr>
        <w:t>Edition</w:t>
      </w:r>
      <w:proofErr w:type="spellEnd"/>
      <w:r w:rsidR="003A001F">
        <w:rPr>
          <w:b/>
          <w:sz w:val="20"/>
          <w:szCs w:val="20"/>
        </w:rPr>
        <w:t xml:space="preserve">. 500-999 </w:t>
      </w:r>
      <w:proofErr w:type="spellStart"/>
      <w:r w:rsidR="003A001F">
        <w:rPr>
          <w:b/>
          <w:sz w:val="20"/>
          <w:szCs w:val="20"/>
        </w:rPr>
        <w:t>Node</w:t>
      </w:r>
      <w:proofErr w:type="spellEnd"/>
      <w:r w:rsidR="003A001F">
        <w:rPr>
          <w:b/>
          <w:sz w:val="20"/>
          <w:szCs w:val="20"/>
        </w:rPr>
        <w:t xml:space="preserve"> 1 </w:t>
      </w:r>
      <w:proofErr w:type="spellStart"/>
      <w:r w:rsidR="003A001F">
        <w:rPr>
          <w:b/>
          <w:sz w:val="20"/>
          <w:szCs w:val="20"/>
        </w:rPr>
        <w:t>year</w:t>
      </w:r>
      <w:proofErr w:type="spellEnd"/>
      <w:r w:rsidR="003A001F">
        <w:rPr>
          <w:b/>
          <w:sz w:val="20"/>
          <w:szCs w:val="20"/>
        </w:rPr>
        <w:t xml:space="preserve"> </w:t>
      </w:r>
      <w:proofErr w:type="spellStart"/>
      <w:r w:rsidR="003A001F">
        <w:rPr>
          <w:b/>
          <w:sz w:val="20"/>
          <w:szCs w:val="20"/>
        </w:rPr>
        <w:t>Renewal</w:t>
      </w:r>
      <w:proofErr w:type="spellEnd"/>
      <w:r w:rsidR="003A001F">
        <w:rPr>
          <w:b/>
          <w:sz w:val="20"/>
          <w:szCs w:val="20"/>
        </w:rPr>
        <w:t xml:space="preserve"> </w:t>
      </w:r>
      <w:proofErr w:type="spellStart"/>
      <w:r w:rsidR="003A001F">
        <w:rPr>
          <w:b/>
          <w:sz w:val="20"/>
          <w:szCs w:val="20"/>
        </w:rPr>
        <w:t>License</w:t>
      </w:r>
      <w:proofErr w:type="spellEnd"/>
      <w:r>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D5B55" w:rsidRPr="00A53C83" w:rsidRDefault="003D5B55" w:rsidP="003D5B55">
      <w:pPr>
        <w:jc w:val="right"/>
        <w:outlineLvl w:val="1"/>
        <w:rPr>
          <w:b/>
          <w:bCs/>
          <w:sz w:val="20"/>
          <w:szCs w:val="20"/>
        </w:rPr>
      </w:pPr>
      <w:r w:rsidRPr="00A53C83">
        <w:rPr>
          <w:b/>
          <w:kern w:val="32"/>
          <w:sz w:val="20"/>
          <w:szCs w:val="20"/>
        </w:rPr>
        <w:t xml:space="preserve">№ </w:t>
      </w:r>
      <w:r w:rsidR="003A001F">
        <w:rPr>
          <w:b/>
          <w:kern w:val="32"/>
          <w:sz w:val="20"/>
          <w:szCs w:val="20"/>
        </w:rPr>
        <w:t>182-21н</w:t>
      </w:r>
    </w:p>
    <w:p w:rsidR="00151DD7" w:rsidRDefault="00151DD7" w:rsidP="006B7F77">
      <w:pPr>
        <w:widowControl w:val="0"/>
        <w:suppressLineNumbers/>
        <w:tabs>
          <w:tab w:val="left" w:pos="0"/>
          <w:tab w:val="left" w:pos="72"/>
        </w:tabs>
        <w:suppressAutoHyphens/>
        <w:jc w:val="center"/>
        <w:rPr>
          <w:b/>
          <w:sz w:val="20"/>
        </w:rPr>
      </w:pPr>
    </w:p>
    <w:p w:rsidR="006B7F77" w:rsidRPr="00A53C83" w:rsidRDefault="006B7F77" w:rsidP="006B7F77">
      <w:pPr>
        <w:widowControl w:val="0"/>
        <w:suppressLineNumbers/>
        <w:tabs>
          <w:tab w:val="left" w:pos="0"/>
          <w:tab w:val="left" w:pos="72"/>
        </w:tabs>
        <w:suppressAutoHyphens/>
        <w:jc w:val="center"/>
        <w:rPr>
          <w:b/>
          <w:sz w:val="20"/>
        </w:rPr>
      </w:pPr>
      <w:r w:rsidRPr="00A53C83">
        <w:rPr>
          <w:b/>
          <w:sz w:val="20"/>
        </w:rPr>
        <w:t>ОБОСНОВАНИЕ НАЧАЛЬНОЙ (МАКСИМАЛЬНОЙ) ЦЕНЫ ДОГОВОРА (НАЧАЛЬНОЙ ЦЕНЫ ЕДИНИЦЫ ТОВАРА, РАБОТЫ, УСЛУГИ)</w:t>
      </w:r>
    </w:p>
    <w:p w:rsidR="006B7F77" w:rsidRPr="00A53C83" w:rsidRDefault="006B7F77" w:rsidP="006B7F77">
      <w:pPr>
        <w:widowControl w:val="0"/>
        <w:autoSpaceDE w:val="0"/>
        <w:autoSpaceDN w:val="0"/>
        <w:jc w:val="center"/>
        <w:rPr>
          <w:b/>
          <w:sz w:val="20"/>
        </w:rPr>
      </w:pPr>
    </w:p>
    <w:tbl>
      <w:tblPr>
        <w:tblW w:w="10773" w:type="dxa"/>
        <w:tblInd w:w="-351" w:type="dxa"/>
        <w:tblLayout w:type="fixed"/>
        <w:tblCellMar>
          <w:left w:w="75" w:type="dxa"/>
          <w:right w:w="75" w:type="dxa"/>
        </w:tblCellMar>
        <w:tblLook w:val="04A0"/>
      </w:tblPr>
      <w:tblGrid>
        <w:gridCol w:w="1701"/>
        <w:gridCol w:w="9072"/>
      </w:tblGrid>
      <w:tr w:rsidR="006B7F77" w:rsidRPr="00A53C83" w:rsidTr="00A53C83">
        <w:trPr>
          <w:trHeight w:val="1237"/>
        </w:trPr>
        <w:tc>
          <w:tcPr>
            <w:tcW w:w="1701" w:type="dxa"/>
            <w:tcBorders>
              <w:top w:val="single" w:sz="4" w:space="0" w:color="auto"/>
              <w:left w:val="single" w:sz="4" w:space="0" w:color="auto"/>
              <w:bottom w:val="single" w:sz="4" w:space="0" w:color="auto"/>
              <w:right w:val="single" w:sz="4" w:space="0" w:color="auto"/>
            </w:tcBorders>
            <w:hideMark/>
          </w:tcPr>
          <w:p w:rsidR="006B7F77" w:rsidRPr="00A53C83" w:rsidRDefault="006B7F77" w:rsidP="00A53C83">
            <w:pPr>
              <w:widowControl w:val="0"/>
              <w:autoSpaceDE w:val="0"/>
              <w:autoSpaceDN w:val="0"/>
              <w:adjustRightInd w:val="0"/>
              <w:rPr>
                <w:sz w:val="20"/>
                <w:lang w:eastAsia="en-US"/>
              </w:rPr>
            </w:pPr>
            <w:r w:rsidRPr="00A53C83">
              <w:rPr>
                <w:sz w:val="20"/>
                <w:lang w:eastAsia="en-US"/>
              </w:rPr>
              <w:t>Используемый метод определения НМЦД с обоснованием:</w:t>
            </w:r>
          </w:p>
        </w:tc>
        <w:tc>
          <w:tcPr>
            <w:tcW w:w="9072" w:type="dxa"/>
            <w:tcBorders>
              <w:top w:val="single" w:sz="4" w:space="0" w:color="auto"/>
              <w:left w:val="single" w:sz="4" w:space="0" w:color="auto"/>
              <w:bottom w:val="single" w:sz="4" w:space="0" w:color="auto"/>
              <w:right w:val="single" w:sz="4" w:space="0" w:color="auto"/>
            </w:tcBorders>
            <w:hideMark/>
          </w:tcPr>
          <w:p w:rsidR="006B7F77" w:rsidRPr="00A53C83" w:rsidRDefault="006B7F77" w:rsidP="00A53C83">
            <w:pPr>
              <w:widowControl w:val="0"/>
              <w:autoSpaceDE w:val="0"/>
              <w:autoSpaceDN w:val="0"/>
              <w:adjustRightInd w:val="0"/>
              <w:rPr>
                <w:sz w:val="20"/>
                <w:lang w:eastAsia="en-US"/>
              </w:rPr>
            </w:pPr>
            <w:r w:rsidRPr="00A53C83">
              <w:rPr>
                <w:sz w:val="20"/>
                <w:lang w:eastAsia="en-US"/>
              </w:rPr>
              <w:t>Метод сопоставимых рыночных цен (анализ рынка), в соответствии с п.9.2 главы 9 Положения о закупке товаров, работ, услуг для нужд ОГАУЗ "ИГКБ № 8".</w:t>
            </w:r>
            <w:r w:rsidRPr="00A53C83">
              <w:rPr>
                <w:sz w:val="18"/>
                <w:szCs w:val="18"/>
                <w:lang w:eastAsia="en-US"/>
              </w:rPr>
              <w:t xml:space="preserve"> </w:t>
            </w:r>
          </w:p>
        </w:tc>
      </w:tr>
      <w:tr w:rsidR="006B7F77" w:rsidRPr="00A53C83" w:rsidTr="00A53C83">
        <w:trPr>
          <w:trHeight w:val="1460"/>
        </w:trPr>
        <w:tc>
          <w:tcPr>
            <w:tcW w:w="1701" w:type="dxa"/>
            <w:tcBorders>
              <w:top w:val="single" w:sz="4" w:space="0" w:color="auto"/>
              <w:left w:val="single" w:sz="4" w:space="0" w:color="auto"/>
              <w:bottom w:val="single" w:sz="4" w:space="0" w:color="auto"/>
              <w:right w:val="single" w:sz="4" w:space="0" w:color="auto"/>
            </w:tcBorders>
            <w:hideMark/>
          </w:tcPr>
          <w:p w:rsidR="006B7F77" w:rsidRPr="00A53C83" w:rsidRDefault="006B7F77" w:rsidP="00836674">
            <w:pPr>
              <w:widowControl w:val="0"/>
              <w:autoSpaceDE w:val="0"/>
              <w:autoSpaceDN w:val="0"/>
              <w:adjustRightInd w:val="0"/>
              <w:rPr>
                <w:sz w:val="20"/>
                <w:lang w:eastAsia="en-US"/>
              </w:rPr>
            </w:pPr>
            <w:r w:rsidRPr="00A53C83">
              <w:rPr>
                <w:sz w:val="20"/>
                <w:lang w:eastAsia="en-US"/>
              </w:rPr>
              <w:t>Расчет НМЦД</w:t>
            </w:r>
          </w:p>
        </w:tc>
        <w:tc>
          <w:tcPr>
            <w:tcW w:w="9072" w:type="dxa"/>
            <w:tcBorders>
              <w:top w:val="single" w:sz="4" w:space="0" w:color="auto"/>
              <w:left w:val="single" w:sz="4" w:space="0" w:color="auto"/>
              <w:bottom w:val="single" w:sz="4" w:space="0" w:color="auto"/>
              <w:right w:val="single" w:sz="4" w:space="0" w:color="auto"/>
            </w:tcBorders>
            <w:hideMark/>
          </w:tcPr>
          <w:p w:rsidR="006B7F77" w:rsidRPr="00A53C83" w:rsidRDefault="006B7F77" w:rsidP="00A53C83">
            <w:pPr>
              <w:widowControl w:val="0"/>
              <w:autoSpaceDE w:val="0"/>
              <w:autoSpaceDN w:val="0"/>
              <w:adjustRightInd w:val="0"/>
              <w:jc w:val="both"/>
              <w:rPr>
                <w:sz w:val="20"/>
                <w:lang w:eastAsia="en-US"/>
              </w:rPr>
            </w:pPr>
            <w:r w:rsidRPr="00A53C83">
              <w:rPr>
                <w:sz w:val="20"/>
                <w:lang w:eastAsia="en-US"/>
              </w:rPr>
              <w:t>Для определения НМЦД с помощью метода сопоставимых рыночных цен (анализ рынка),  начальная (максимальная) цена договора сформирована Заказчиком на основании информации, предоставленной Поставщиками о ценах на товары, работы, услуги, являющихся предметом закупки (Таблица 1):</w:t>
            </w:r>
          </w:p>
          <w:p w:rsidR="006B7F77" w:rsidRPr="00A53C83" w:rsidRDefault="006B7F77" w:rsidP="00A53C83">
            <w:pPr>
              <w:widowControl w:val="0"/>
              <w:autoSpaceDE w:val="0"/>
              <w:autoSpaceDN w:val="0"/>
              <w:adjustRightInd w:val="0"/>
              <w:ind w:left="101"/>
              <w:jc w:val="both"/>
              <w:rPr>
                <w:sz w:val="20"/>
                <w:lang w:eastAsia="en-US"/>
              </w:rPr>
            </w:pPr>
            <w:r w:rsidRPr="00A53C83">
              <w:rPr>
                <w:sz w:val="20"/>
                <w:lang w:eastAsia="en-US"/>
              </w:rPr>
              <w:t xml:space="preserve">Поставщик 1 – </w:t>
            </w:r>
            <w:proofErr w:type="spellStart"/>
            <w:r w:rsidRPr="00A53C83">
              <w:rPr>
                <w:sz w:val="20"/>
                <w:lang w:eastAsia="en-US"/>
              </w:rPr>
              <w:t>вх</w:t>
            </w:r>
            <w:proofErr w:type="spellEnd"/>
            <w:r w:rsidRPr="00A53C83">
              <w:rPr>
                <w:sz w:val="20"/>
                <w:lang w:eastAsia="en-US"/>
              </w:rPr>
              <w:t xml:space="preserve">. № </w:t>
            </w:r>
            <w:r w:rsidR="001124BF">
              <w:rPr>
                <w:sz w:val="20"/>
                <w:lang w:eastAsia="en-US"/>
              </w:rPr>
              <w:t>2751</w:t>
            </w:r>
            <w:r w:rsidRPr="00A53C83">
              <w:rPr>
                <w:sz w:val="20"/>
                <w:lang w:eastAsia="en-US"/>
              </w:rPr>
              <w:t xml:space="preserve"> от </w:t>
            </w:r>
            <w:r w:rsidR="001124BF">
              <w:rPr>
                <w:sz w:val="20"/>
                <w:lang w:eastAsia="en-US"/>
              </w:rPr>
              <w:t>25</w:t>
            </w:r>
            <w:r w:rsidRPr="00A53C83">
              <w:rPr>
                <w:sz w:val="20"/>
                <w:lang w:eastAsia="en-US"/>
              </w:rPr>
              <w:t>.0</w:t>
            </w:r>
            <w:r w:rsidR="001124BF">
              <w:rPr>
                <w:sz w:val="20"/>
                <w:lang w:eastAsia="en-US"/>
              </w:rPr>
              <w:t>6</w:t>
            </w:r>
            <w:r w:rsidRPr="00A53C83">
              <w:rPr>
                <w:sz w:val="20"/>
                <w:lang w:eastAsia="en-US"/>
              </w:rPr>
              <w:t>.2021 г.</w:t>
            </w:r>
          </w:p>
          <w:p w:rsidR="006B7F77" w:rsidRPr="00A53C83" w:rsidRDefault="006B7F77" w:rsidP="00A53C83">
            <w:pPr>
              <w:widowControl w:val="0"/>
              <w:autoSpaceDE w:val="0"/>
              <w:autoSpaceDN w:val="0"/>
              <w:adjustRightInd w:val="0"/>
              <w:ind w:left="101"/>
              <w:jc w:val="both"/>
              <w:rPr>
                <w:lang w:eastAsia="en-US"/>
              </w:rPr>
            </w:pPr>
            <w:r w:rsidRPr="00A53C83">
              <w:rPr>
                <w:sz w:val="20"/>
                <w:lang w:eastAsia="en-US"/>
              </w:rPr>
              <w:t xml:space="preserve">Поставщик 2 – </w:t>
            </w:r>
            <w:proofErr w:type="spellStart"/>
            <w:r w:rsidR="001124BF" w:rsidRPr="00A53C83">
              <w:rPr>
                <w:sz w:val="20"/>
                <w:lang w:eastAsia="en-US"/>
              </w:rPr>
              <w:t>вх</w:t>
            </w:r>
            <w:proofErr w:type="spellEnd"/>
            <w:r w:rsidR="001124BF" w:rsidRPr="00A53C83">
              <w:rPr>
                <w:sz w:val="20"/>
                <w:lang w:eastAsia="en-US"/>
              </w:rPr>
              <w:t xml:space="preserve">. № </w:t>
            </w:r>
            <w:r w:rsidR="001124BF">
              <w:rPr>
                <w:sz w:val="20"/>
                <w:lang w:eastAsia="en-US"/>
              </w:rPr>
              <w:t>2750</w:t>
            </w:r>
            <w:r w:rsidR="001124BF" w:rsidRPr="00A53C83">
              <w:rPr>
                <w:sz w:val="20"/>
                <w:lang w:eastAsia="en-US"/>
              </w:rPr>
              <w:t xml:space="preserve"> от </w:t>
            </w:r>
            <w:r w:rsidR="001124BF">
              <w:rPr>
                <w:sz w:val="20"/>
                <w:lang w:eastAsia="en-US"/>
              </w:rPr>
              <w:t>25</w:t>
            </w:r>
            <w:r w:rsidR="001124BF" w:rsidRPr="00A53C83">
              <w:rPr>
                <w:sz w:val="20"/>
                <w:lang w:eastAsia="en-US"/>
              </w:rPr>
              <w:t>.0</w:t>
            </w:r>
            <w:r w:rsidR="001124BF">
              <w:rPr>
                <w:sz w:val="20"/>
                <w:lang w:eastAsia="en-US"/>
              </w:rPr>
              <w:t>6</w:t>
            </w:r>
            <w:r w:rsidR="001124BF" w:rsidRPr="00A53C83">
              <w:rPr>
                <w:sz w:val="20"/>
                <w:lang w:eastAsia="en-US"/>
              </w:rPr>
              <w:t>.2021 г</w:t>
            </w:r>
            <w:r w:rsidRPr="00A53C83">
              <w:rPr>
                <w:sz w:val="20"/>
                <w:lang w:eastAsia="en-US"/>
              </w:rPr>
              <w:t>.</w:t>
            </w:r>
          </w:p>
          <w:p w:rsidR="006B7F77" w:rsidRPr="00A53C83" w:rsidRDefault="006B7F77" w:rsidP="001124BF">
            <w:pPr>
              <w:widowControl w:val="0"/>
              <w:autoSpaceDE w:val="0"/>
              <w:autoSpaceDN w:val="0"/>
              <w:adjustRightInd w:val="0"/>
              <w:ind w:left="101"/>
              <w:jc w:val="both"/>
              <w:rPr>
                <w:lang w:eastAsia="en-US"/>
              </w:rPr>
            </w:pPr>
            <w:r w:rsidRPr="00A53C83">
              <w:rPr>
                <w:sz w:val="20"/>
                <w:lang w:eastAsia="en-US"/>
              </w:rPr>
              <w:t xml:space="preserve">Поставщик 3 – </w:t>
            </w:r>
            <w:proofErr w:type="spellStart"/>
            <w:r w:rsidR="001124BF" w:rsidRPr="00A53C83">
              <w:rPr>
                <w:sz w:val="20"/>
                <w:lang w:eastAsia="en-US"/>
              </w:rPr>
              <w:t>вх</w:t>
            </w:r>
            <w:proofErr w:type="spellEnd"/>
            <w:r w:rsidR="001124BF" w:rsidRPr="00A53C83">
              <w:rPr>
                <w:sz w:val="20"/>
                <w:lang w:eastAsia="en-US"/>
              </w:rPr>
              <w:t xml:space="preserve">. № </w:t>
            </w:r>
            <w:r w:rsidR="001124BF">
              <w:rPr>
                <w:sz w:val="20"/>
                <w:lang w:eastAsia="en-US"/>
              </w:rPr>
              <w:t>2749</w:t>
            </w:r>
            <w:r w:rsidR="001124BF" w:rsidRPr="00A53C83">
              <w:rPr>
                <w:sz w:val="20"/>
                <w:lang w:eastAsia="en-US"/>
              </w:rPr>
              <w:t xml:space="preserve"> от </w:t>
            </w:r>
            <w:r w:rsidR="001124BF">
              <w:rPr>
                <w:sz w:val="20"/>
                <w:lang w:eastAsia="en-US"/>
              </w:rPr>
              <w:t>25</w:t>
            </w:r>
            <w:r w:rsidR="001124BF" w:rsidRPr="00A53C83">
              <w:rPr>
                <w:sz w:val="20"/>
                <w:lang w:eastAsia="en-US"/>
              </w:rPr>
              <w:t>.0</w:t>
            </w:r>
            <w:r w:rsidR="001124BF">
              <w:rPr>
                <w:sz w:val="20"/>
                <w:lang w:eastAsia="en-US"/>
              </w:rPr>
              <w:t>6</w:t>
            </w:r>
            <w:r w:rsidR="001124BF" w:rsidRPr="00A53C83">
              <w:rPr>
                <w:sz w:val="20"/>
                <w:lang w:eastAsia="en-US"/>
              </w:rPr>
              <w:t>.2021 г</w:t>
            </w:r>
            <w:r w:rsidRPr="00A53C83">
              <w:rPr>
                <w:sz w:val="20"/>
                <w:lang w:eastAsia="en-US"/>
              </w:rPr>
              <w:t>.</w:t>
            </w:r>
          </w:p>
        </w:tc>
      </w:tr>
      <w:tr w:rsidR="006B7F77" w:rsidRPr="00A53C83" w:rsidTr="00A53C83">
        <w:trPr>
          <w:trHeight w:val="233"/>
        </w:trPr>
        <w:tc>
          <w:tcPr>
            <w:tcW w:w="10773" w:type="dxa"/>
            <w:gridSpan w:val="2"/>
            <w:tcBorders>
              <w:top w:val="single" w:sz="4" w:space="0" w:color="auto"/>
              <w:left w:val="single" w:sz="4" w:space="0" w:color="auto"/>
              <w:bottom w:val="single" w:sz="4" w:space="0" w:color="auto"/>
              <w:right w:val="single" w:sz="4" w:space="0" w:color="auto"/>
            </w:tcBorders>
            <w:hideMark/>
          </w:tcPr>
          <w:p w:rsidR="006B7F77" w:rsidRPr="00A53C83" w:rsidRDefault="006B7F77" w:rsidP="00A53C83">
            <w:pPr>
              <w:widowControl w:val="0"/>
              <w:autoSpaceDE w:val="0"/>
              <w:autoSpaceDN w:val="0"/>
              <w:adjustRightInd w:val="0"/>
              <w:rPr>
                <w:sz w:val="20"/>
                <w:lang w:eastAsia="en-US"/>
              </w:rPr>
            </w:pPr>
            <w:r w:rsidRPr="00A53C83">
              <w:rPr>
                <w:sz w:val="20"/>
                <w:lang w:eastAsia="en-US"/>
              </w:rPr>
              <w:t>Дата подготовки обоснования НМЦ</w:t>
            </w:r>
            <w:r w:rsidR="00547273" w:rsidRPr="00A53C83">
              <w:rPr>
                <w:sz w:val="20"/>
                <w:lang w:eastAsia="en-US"/>
              </w:rPr>
              <w:t>Д</w:t>
            </w:r>
            <w:r w:rsidRPr="00A53C83">
              <w:rPr>
                <w:sz w:val="20"/>
                <w:lang w:eastAsia="en-US"/>
              </w:rPr>
              <w:t>: 19.04.2021 г.</w:t>
            </w:r>
          </w:p>
        </w:tc>
      </w:tr>
    </w:tbl>
    <w:p w:rsidR="006B7F77" w:rsidRPr="00A53C83" w:rsidRDefault="006B7F77" w:rsidP="006B7F77">
      <w:pPr>
        <w:widowControl w:val="0"/>
        <w:autoSpaceDE w:val="0"/>
        <w:autoSpaceDN w:val="0"/>
        <w:adjustRightInd w:val="0"/>
        <w:jc w:val="right"/>
        <w:rPr>
          <w:b/>
          <w:sz w:val="20"/>
        </w:rPr>
      </w:pPr>
    </w:p>
    <w:p w:rsidR="006B7F77" w:rsidRPr="00A53C83" w:rsidRDefault="006B7F77" w:rsidP="006B7F77">
      <w:pPr>
        <w:widowControl w:val="0"/>
        <w:autoSpaceDE w:val="0"/>
        <w:autoSpaceDN w:val="0"/>
        <w:adjustRightInd w:val="0"/>
        <w:jc w:val="right"/>
        <w:rPr>
          <w:b/>
          <w:sz w:val="20"/>
        </w:rPr>
      </w:pPr>
      <w:r w:rsidRPr="00A53C83">
        <w:rPr>
          <w:b/>
          <w:sz w:val="20"/>
        </w:rPr>
        <w:t>Таблица 1</w:t>
      </w:r>
    </w:p>
    <w:tbl>
      <w:tblPr>
        <w:tblW w:w="10743" w:type="dxa"/>
        <w:tblInd w:w="-318" w:type="dxa"/>
        <w:tblLayout w:type="fixed"/>
        <w:tblLook w:val="04A0"/>
      </w:tblPr>
      <w:tblGrid>
        <w:gridCol w:w="448"/>
        <w:gridCol w:w="1962"/>
        <w:gridCol w:w="667"/>
        <w:gridCol w:w="609"/>
        <w:gridCol w:w="850"/>
        <w:gridCol w:w="851"/>
        <w:gridCol w:w="850"/>
        <w:gridCol w:w="822"/>
        <w:gridCol w:w="1275"/>
        <w:gridCol w:w="1179"/>
        <w:gridCol w:w="1230"/>
      </w:tblGrid>
      <w:tr w:rsidR="00DF74BD" w:rsidRPr="00A53C83" w:rsidTr="00DF74BD">
        <w:trPr>
          <w:trHeight w:val="573"/>
        </w:trPr>
        <w:tc>
          <w:tcPr>
            <w:tcW w:w="448" w:type="dxa"/>
            <w:vMerge w:val="restart"/>
            <w:tcBorders>
              <w:top w:val="single" w:sz="4" w:space="0" w:color="auto"/>
              <w:left w:val="single" w:sz="4" w:space="0" w:color="auto"/>
              <w:bottom w:val="single" w:sz="4" w:space="0" w:color="auto"/>
              <w:right w:val="single" w:sz="4" w:space="0" w:color="auto"/>
            </w:tcBorders>
            <w:noWrap/>
            <w:vAlign w:val="center"/>
            <w:hideMark/>
          </w:tcPr>
          <w:p w:rsidR="00DF74BD" w:rsidRPr="00A53C83" w:rsidRDefault="00DF74BD" w:rsidP="00A53C83">
            <w:pPr>
              <w:jc w:val="center"/>
              <w:rPr>
                <w:b/>
                <w:sz w:val="18"/>
                <w:szCs w:val="18"/>
                <w:lang w:eastAsia="en-US"/>
              </w:rPr>
            </w:pPr>
            <w:r w:rsidRPr="00A53C83">
              <w:rPr>
                <w:b/>
                <w:sz w:val="18"/>
                <w:szCs w:val="18"/>
                <w:lang w:eastAsia="en-US"/>
              </w:rPr>
              <w:t>№</w:t>
            </w:r>
          </w:p>
        </w:tc>
        <w:tc>
          <w:tcPr>
            <w:tcW w:w="1962" w:type="dxa"/>
            <w:vMerge w:val="restart"/>
            <w:tcBorders>
              <w:top w:val="single" w:sz="4" w:space="0" w:color="auto"/>
              <w:left w:val="nil"/>
              <w:bottom w:val="single" w:sz="4" w:space="0" w:color="auto"/>
              <w:right w:val="single" w:sz="4" w:space="0" w:color="auto"/>
            </w:tcBorders>
            <w:vAlign w:val="center"/>
            <w:hideMark/>
          </w:tcPr>
          <w:p w:rsidR="00DF74BD" w:rsidRPr="00A53C83" w:rsidRDefault="00DF74BD" w:rsidP="00A53C83">
            <w:pPr>
              <w:jc w:val="center"/>
              <w:rPr>
                <w:b/>
                <w:sz w:val="18"/>
                <w:szCs w:val="18"/>
                <w:lang w:eastAsia="en-US"/>
              </w:rPr>
            </w:pPr>
            <w:r w:rsidRPr="00A53C83">
              <w:rPr>
                <w:b/>
                <w:sz w:val="18"/>
                <w:szCs w:val="18"/>
                <w:lang w:eastAsia="en-US"/>
              </w:rPr>
              <w:t>Наименование</w:t>
            </w:r>
            <w:r w:rsidRPr="00A53C83">
              <w:rPr>
                <w:b/>
                <w:sz w:val="18"/>
                <w:szCs w:val="18"/>
                <w:lang w:eastAsia="en-US"/>
              </w:rPr>
              <w:br/>
              <w:t>товара</w:t>
            </w:r>
          </w:p>
        </w:tc>
        <w:tc>
          <w:tcPr>
            <w:tcW w:w="667" w:type="dxa"/>
            <w:vMerge w:val="restart"/>
            <w:tcBorders>
              <w:top w:val="single" w:sz="4" w:space="0" w:color="auto"/>
              <w:left w:val="single" w:sz="4" w:space="0" w:color="auto"/>
              <w:right w:val="single" w:sz="4" w:space="0" w:color="auto"/>
            </w:tcBorders>
            <w:vAlign w:val="center"/>
          </w:tcPr>
          <w:p w:rsidR="00DF74BD" w:rsidRPr="00A53C83" w:rsidRDefault="00DF74BD" w:rsidP="006B7F77">
            <w:pPr>
              <w:spacing w:line="276" w:lineRule="auto"/>
              <w:jc w:val="center"/>
              <w:rPr>
                <w:b/>
                <w:sz w:val="18"/>
                <w:szCs w:val="18"/>
                <w:lang w:eastAsia="en-US"/>
              </w:rPr>
            </w:pPr>
            <w:proofErr w:type="spellStart"/>
            <w:proofErr w:type="gramStart"/>
            <w:r w:rsidRPr="00A53C83">
              <w:rPr>
                <w:b/>
                <w:sz w:val="18"/>
                <w:szCs w:val="18"/>
                <w:lang w:eastAsia="en-US"/>
              </w:rPr>
              <w:t>Ед</w:t>
            </w:r>
            <w:proofErr w:type="spellEnd"/>
            <w:proofErr w:type="gramEnd"/>
            <w:r w:rsidRPr="00A53C83">
              <w:rPr>
                <w:b/>
                <w:sz w:val="18"/>
                <w:szCs w:val="18"/>
                <w:lang w:eastAsia="en-US"/>
              </w:rPr>
              <w:t xml:space="preserve"> </w:t>
            </w:r>
            <w:proofErr w:type="spellStart"/>
            <w:r w:rsidRPr="00A53C83">
              <w:rPr>
                <w:b/>
                <w:sz w:val="18"/>
                <w:szCs w:val="18"/>
                <w:lang w:eastAsia="en-US"/>
              </w:rPr>
              <w:t>изм</w:t>
            </w:r>
            <w:proofErr w:type="spellEnd"/>
            <w:r w:rsidRPr="00A53C83">
              <w:rPr>
                <w:b/>
                <w:sz w:val="18"/>
                <w:szCs w:val="18"/>
                <w:lang w:eastAsia="en-US"/>
              </w:rPr>
              <w:t>.</w:t>
            </w:r>
          </w:p>
        </w:tc>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DF74BD" w:rsidRPr="00A53C83" w:rsidRDefault="00DF74BD" w:rsidP="00A53C83">
            <w:pPr>
              <w:jc w:val="center"/>
              <w:rPr>
                <w:b/>
                <w:sz w:val="18"/>
                <w:szCs w:val="18"/>
                <w:lang w:val="en-US" w:eastAsia="en-US"/>
              </w:rPr>
            </w:pPr>
            <w:r w:rsidRPr="00A53C83">
              <w:rPr>
                <w:b/>
                <w:sz w:val="18"/>
                <w:szCs w:val="18"/>
                <w:lang w:eastAsia="en-US"/>
              </w:rPr>
              <w:t xml:space="preserve">Кол-во </w:t>
            </w:r>
          </w:p>
        </w:tc>
        <w:tc>
          <w:tcPr>
            <w:tcW w:w="850" w:type="dxa"/>
            <w:tcBorders>
              <w:top w:val="single" w:sz="4" w:space="0" w:color="auto"/>
              <w:left w:val="nil"/>
              <w:bottom w:val="single" w:sz="4" w:space="0" w:color="auto"/>
              <w:right w:val="single" w:sz="4" w:space="0" w:color="auto"/>
            </w:tcBorders>
            <w:vAlign w:val="center"/>
            <w:hideMark/>
          </w:tcPr>
          <w:p w:rsidR="00DF74BD" w:rsidRPr="00A53C83" w:rsidRDefault="00DF74BD" w:rsidP="00A53C83">
            <w:pPr>
              <w:jc w:val="center"/>
              <w:rPr>
                <w:b/>
                <w:sz w:val="18"/>
                <w:szCs w:val="18"/>
                <w:lang w:eastAsia="en-US"/>
              </w:rPr>
            </w:pPr>
            <w:r w:rsidRPr="00A53C83">
              <w:rPr>
                <w:b/>
                <w:sz w:val="18"/>
                <w:szCs w:val="18"/>
                <w:lang w:eastAsia="en-US"/>
              </w:rPr>
              <w:t>Поставщик № 1</w:t>
            </w:r>
          </w:p>
        </w:tc>
        <w:tc>
          <w:tcPr>
            <w:tcW w:w="851" w:type="dxa"/>
            <w:tcBorders>
              <w:top w:val="single" w:sz="4" w:space="0" w:color="auto"/>
              <w:left w:val="nil"/>
              <w:bottom w:val="single" w:sz="4" w:space="0" w:color="auto"/>
              <w:right w:val="single" w:sz="4" w:space="0" w:color="auto"/>
            </w:tcBorders>
            <w:vAlign w:val="center"/>
          </w:tcPr>
          <w:p w:rsidR="00DF74BD" w:rsidRPr="00A53C83" w:rsidRDefault="00DF74BD" w:rsidP="00A53C83">
            <w:pPr>
              <w:jc w:val="center"/>
              <w:rPr>
                <w:b/>
                <w:sz w:val="18"/>
                <w:szCs w:val="18"/>
              </w:rPr>
            </w:pPr>
            <w:r w:rsidRPr="00A53C83">
              <w:rPr>
                <w:b/>
                <w:sz w:val="18"/>
                <w:szCs w:val="18"/>
              </w:rPr>
              <w:t>Поставщик № 2</w:t>
            </w:r>
          </w:p>
        </w:tc>
        <w:tc>
          <w:tcPr>
            <w:tcW w:w="850" w:type="dxa"/>
            <w:tcBorders>
              <w:top w:val="single" w:sz="4" w:space="0" w:color="auto"/>
              <w:left w:val="nil"/>
              <w:bottom w:val="single" w:sz="4" w:space="0" w:color="auto"/>
              <w:right w:val="single" w:sz="4" w:space="0" w:color="auto"/>
            </w:tcBorders>
            <w:vAlign w:val="center"/>
          </w:tcPr>
          <w:p w:rsidR="00DF74BD" w:rsidRPr="00A53C83" w:rsidRDefault="00DF74BD" w:rsidP="00A53C83">
            <w:pPr>
              <w:jc w:val="center"/>
              <w:rPr>
                <w:b/>
                <w:sz w:val="18"/>
                <w:szCs w:val="18"/>
              </w:rPr>
            </w:pPr>
            <w:r w:rsidRPr="00A53C83">
              <w:rPr>
                <w:b/>
                <w:sz w:val="18"/>
                <w:szCs w:val="18"/>
              </w:rPr>
              <w:t>Поставщик № 3</w:t>
            </w:r>
          </w:p>
        </w:tc>
        <w:tc>
          <w:tcPr>
            <w:tcW w:w="822" w:type="dxa"/>
            <w:vMerge w:val="restart"/>
            <w:tcBorders>
              <w:top w:val="single" w:sz="4" w:space="0" w:color="auto"/>
              <w:left w:val="single" w:sz="4" w:space="0" w:color="auto"/>
              <w:right w:val="single" w:sz="4" w:space="0" w:color="auto"/>
            </w:tcBorders>
            <w:vAlign w:val="center"/>
            <w:hideMark/>
          </w:tcPr>
          <w:p w:rsidR="00DF74BD" w:rsidRPr="00DF74BD" w:rsidRDefault="00DF74BD" w:rsidP="00A53C83">
            <w:pPr>
              <w:jc w:val="center"/>
              <w:rPr>
                <w:b/>
                <w:sz w:val="18"/>
                <w:szCs w:val="18"/>
                <w:lang w:eastAsia="en-US"/>
              </w:rPr>
            </w:pPr>
            <w:proofErr w:type="spellStart"/>
            <w:r w:rsidRPr="00DF74BD">
              <w:rPr>
                <w:b/>
                <w:sz w:val="18"/>
                <w:szCs w:val="18"/>
                <w:lang w:eastAsia="en-US"/>
              </w:rPr>
              <w:t>Средн</w:t>
            </w:r>
            <w:proofErr w:type="spellEnd"/>
            <w:r w:rsidRPr="00DF74BD">
              <w:rPr>
                <w:b/>
                <w:sz w:val="18"/>
                <w:szCs w:val="18"/>
                <w:lang w:eastAsia="en-US"/>
              </w:rPr>
              <w:t xml:space="preserve">. </w:t>
            </w:r>
            <w:proofErr w:type="spellStart"/>
            <w:r w:rsidRPr="00DF74BD">
              <w:rPr>
                <w:b/>
                <w:sz w:val="18"/>
                <w:szCs w:val="18"/>
                <w:lang w:eastAsia="en-US"/>
              </w:rPr>
              <w:t>арифм</w:t>
            </w:r>
            <w:proofErr w:type="spellEnd"/>
            <w:r w:rsidRPr="00DF74BD">
              <w:rPr>
                <w:b/>
                <w:sz w:val="18"/>
                <w:szCs w:val="18"/>
                <w:lang w:eastAsia="en-US"/>
              </w:rPr>
              <w:t xml:space="preserve">. </w:t>
            </w:r>
          </w:p>
          <w:p w:rsidR="00DF74BD" w:rsidRPr="00DF74BD" w:rsidRDefault="00DF74BD" w:rsidP="00DF74BD">
            <w:pPr>
              <w:jc w:val="center"/>
              <w:rPr>
                <w:b/>
                <w:i/>
                <w:sz w:val="18"/>
                <w:szCs w:val="18"/>
                <w:lang w:eastAsia="en-US"/>
              </w:rPr>
            </w:pPr>
            <w:r w:rsidRPr="00DF74BD">
              <w:rPr>
                <w:b/>
                <w:i/>
                <w:sz w:val="18"/>
                <w:szCs w:val="18"/>
              </w:rPr>
              <w:t>&lt;</w:t>
            </w:r>
            <w:proofErr w:type="gramStart"/>
            <w:r w:rsidRPr="00DF74BD">
              <w:rPr>
                <w:b/>
                <w:i/>
                <w:iCs/>
                <w:sz w:val="18"/>
                <w:szCs w:val="18"/>
              </w:rPr>
              <w:t>Ц</w:t>
            </w:r>
            <w:proofErr w:type="gramEnd"/>
            <w:r w:rsidRPr="00DF74BD">
              <w:rPr>
                <w:b/>
                <w:i/>
                <w:sz w:val="18"/>
                <w:szCs w:val="18"/>
              </w:rPr>
              <w:t>&gt;</w:t>
            </w:r>
          </w:p>
        </w:tc>
        <w:tc>
          <w:tcPr>
            <w:tcW w:w="1275" w:type="dxa"/>
            <w:vMerge w:val="restart"/>
            <w:tcBorders>
              <w:top w:val="single" w:sz="4" w:space="0" w:color="auto"/>
              <w:left w:val="nil"/>
              <w:right w:val="single" w:sz="4" w:space="0" w:color="auto"/>
            </w:tcBorders>
            <w:vAlign w:val="center"/>
          </w:tcPr>
          <w:p w:rsidR="00DF74BD" w:rsidRPr="00A53C83" w:rsidRDefault="00DF74BD" w:rsidP="00A53C83">
            <w:pPr>
              <w:jc w:val="center"/>
              <w:rPr>
                <w:b/>
                <w:noProof/>
                <w:sz w:val="18"/>
                <w:szCs w:val="18"/>
                <w:lang w:eastAsia="en-US"/>
              </w:rPr>
            </w:pPr>
            <w:r w:rsidRPr="00A53C83">
              <w:rPr>
                <w:b/>
                <w:noProof/>
                <w:sz w:val="18"/>
                <w:szCs w:val="18"/>
                <w:lang w:eastAsia="en-US"/>
              </w:rPr>
              <w:t>Средн. квадр.</w:t>
            </w:r>
          </w:p>
          <w:p w:rsidR="00DF74BD" w:rsidRPr="00A53C83" w:rsidRDefault="00DF74BD" w:rsidP="00A53C83">
            <w:pPr>
              <w:jc w:val="center"/>
              <w:rPr>
                <w:b/>
                <w:noProof/>
                <w:color w:val="000000"/>
                <w:sz w:val="18"/>
                <w:szCs w:val="18"/>
                <w:lang w:val="en-US"/>
              </w:rPr>
            </w:pPr>
            <w:r w:rsidRPr="00A53C83">
              <w:rPr>
                <w:b/>
                <w:noProof/>
                <w:sz w:val="18"/>
                <w:szCs w:val="18"/>
                <w:lang w:eastAsia="en-US"/>
              </w:rPr>
              <w:t>откл.</w:t>
            </w:r>
          </w:p>
          <w:p w:rsidR="00DF74BD" w:rsidRPr="00A53C83" w:rsidRDefault="00DF74BD" w:rsidP="00A53C83">
            <w:pPr>
              <w:jc w:val="center"/>
              <w:rPr>
                <w:b/>
                <w:sz w:val="18"/>
                <w:szCs w:val="18"/>
                <w:lang w:val="en-US" w:eastAsia="en-US"/>
              </w:rPr>
            </w:pPr>
            <w:r w:rsidRPr="00A53C83">
              <w:rPr>
                <w:b/>
                <w:noProof/>
                <w:color w:val="000000"/>
                <w:sz w:val="18"/>
                <w:szCs w:val="18"/>
              </w:rPr>
              <w:drawing>
                <wp:inline distT="0" distB="0" distL="0" distR="0">
                  <wp:extent cx="688149" cy="205740"/>
                  <wp:effectExtent l="19050" t="0" r="0" b="0"/>
                  <wp:docPr id="26" name="Рисунок 2" descr="base_1_153376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spect="1" noChangeArrowheads="1"/>
                          </pic:cNvPicPr>
                        </pic:nvPicPr>
                        <pic:blipFill>
                          <a:blip r:embed="rId19"/>
                          <a:srcRect/>
                          <a:stretch>
                            <a:fillRect/>
                          </a:stretch>
                        </pic:blipFill>
                        <pic:spPr bwMode="auto">
                          <a:xfrm>
                            <a:off x="0" y="0"/>
                            <a:ext cx="688203" cy="205756"/>
                          </a:xfrm>
                          <a:prstGeom prst="rect">
                            <a:avLst/>
                          </a:prstGeom>
                          <a:noFill/>
                          <a:ln w="9525">
                            <a:noFill/>
                            <a:miter lim="800000"/>
                            <a:headEnd/>
                            <a:tailEnd/>
                          </a:ln>
                        </pic:spPr>
                      </pic:pic>
                    </a:graphicData>
                  </a:graphic>
                </wp:inline>
              </w:drawing>
            </w:r>
          </w:p>
        </w:tc>
        <w:tc>
          <w:tcPr>
            <w:tcW w:w="1179" w:type="dxa"/>
            <w:vMerge w:val="restart"/>
            <w:tcBorders>
              <w:top w:val="single" w:sz="4" w:space="0" w:color="auto"/>
              <w:left w:val="nil"/>
              <w:right w:val="single" w:sz="4" w:space="0" w:color="auto"/>
            </w:tcBorders>
            <w:vAlign w:val="center"/>
            <w:hideMark/>
          </w:tcPr>
          <w:p w:rsidR="00DF74BD" w:rsidRDefault="00DF74BD" w:rsidP="00A53C83">
            <w:pPr>
              <w:jc w:val="center"/>
              <w:rPr>
                <w:b/>
                <w:sz w:val="18"/>
                <w:szCs w:val="18"/>
                <w:lang w:eastAsia="en-US"/>
              </w:rPr>
            </w:pPr>
            <w:proofErr w:type="spellStart"/>
            <w:r w:rsidRPr="00A53C83">
              <w:rPr>
                <w:b/>
                <w:sz w:val="18"/>
                <w:szCs w:val="18"/>
                <w:lang w:eastAsia="en-US"/>
              </w:rPr>
              <w:t>Коэфф</w:t>
            </w:r>
            <w:proofErr w:type="spellEnd"/>
            <w:r w:rsidRPr="00A53C83">
              <w:rPr>
                <w:b/>
                <w:sz w:val="18"/>
                <w:szCs w:val="18"/>
                <w:lang w:eastAsia="en-US"/>
              </w:rPr>
              <w:t>. вариации</w:t>
            </w:r>
            <w:r>
              <w:rPr>
                <w:b/>
                <w:sz w:val="18"/>
                <w:szCs w:val="18"/>
                <w:lang w:eastAsia="en-US"/>
              </w:rPr>
              <w:t>, %*</w:t>
            </w:r>
          </w:p>
          <w:p w:rsidR="00DF74BD" w:rsidRPr="00A53C83" w:rsidRDefault="00DF74BD" w:rsidP="00A53C83">
            <w:pPr>
              <w:jc w:val="center"/>
              <w:rPr>
                <w:b/>
                <w:sz w:val="18"/>
                <w:szCs w:val="18"/>
                <w:lang w:eastAsia="en-US"/>
              </w:rPr>
            </w:pPr>
            <w:r w:rsidRPr="00DF74BD">
              <w:rPr>
                <w:b/>
                <w:noProof/>
                <w:sz w:val="18"/>
                <w:szCs w:val="18"/>
              </w:rPr>
              <w:drawing>
                <wp:inline distT="0" distB="0" distL="0" distR="0">
                  <wp:extent cx="543189" cy="190500"/>
                  <wp:effectExtent l="19050" t="0" r="9261" b="0"/>
                  <wp:docPr id="27" name="Рисунок 1" descr="base_1_153376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spect="1" noChangeArrowheads="1"/>
                          </pic:cNvPicPr>
                        </pic:nvPicPr>
                        <pic:blipFill>
                          <a:blip r:embed="rId20"/>
                          <a:srcRect/>
                          <a:stretch>
                            <a:fillRect/>
                          </a:stretch>
                        </pic:blipFill>
                        <pic:spPr bwMode="auto">
                          <a:xfrm>
                            <a:off x="0" y="0"/>
                            <a:ext cx="543189" cy="190500"/>
                          </a:xfrm>
                          <a:prstGeom prst="rect">
                            <a:avLst/>
                          </a:prstGeom>
                          <a:noFill/>
                          <a:ln w="9525">
                            <a:noFill/>
                            <a:miter lim="800000"/>
                            <a:headEnd/>
                            <a:tailEnd/>
                          </a:ln>
                        </pic:spPr>
                      </pic:pic>
                    </a:graphicData>
                  </a:graphic>
                </wp:inline>
              </w:drawing>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DF74BD" w:rsidRPr="00A53C83" w:rsidRDefault="00DF74BD" w:rsidP="00DF74BD">
            <w:pPr>
              <w:jc w:val="center"/>
              <w:rPr>
                <w:b/>
                <w:sz w:val="18"/>
                <w:szCs w:val="18"/>
                <w:lang w:eastAsia="en-US"/>
              </w:rPr>
            </w:pPr>
            <w:r w:rsidRPr="00A53C83">
              <w:rPr>
                <w:b/>
                <w:sz w:val="18"/>
                <w:szCs w:val="18"/>
                <w:lang w:eastAsia="en-US"/>
              </w:rPr>
              <w:t>НМЦД, руб.</w:t>
            </w:r>
          </w:p>
          <w:p w:rsidR="00DF74BD" w:rsidRPr="00A53C83" w:rsidRDefault="00DF74BD" w:rsidP="00DF74BD">
            <w:pPr>
              <w:jc w:val="center"/>
              <w:rPr>
                <w:b/>
                <w:sz w:val="18"/>
                <w:szCs w:val="18"/>
                <w:lang w:eastAsia="en-US"/>
              </w:rPr>
            </w:pPr>
          </w:p>
          <w:p w:rsidR="00DF74BD" w:rsidRPr="00A53C83" w:rsidRDefault="00DF74BD" w:rsidP="00DF74BD">
            <w:pPr>
              <w:ind w:firstLine="79"/>
              <w:jc w:val="center"/>
              <w:rPr>
                <w:b/>
                <w:sz w:val="18"/>
                <w:szCs w:val="18"/>
                <w:lang w:eastAsia="en-US"/>
              </w:rPr>
            </w:pPr>
          </w:p>
        </w:tc>
      </w:tr>
      <w:tr w:rsidR="00DF74BD" w:rsidRPr="00A53C83" w:rsidTr="00DF74BD">
        <w:trPr>
          <w:trHeight w:val="396"/>
        </w:trPr>
        <w:tc>
          <w:tcPr>
            <w:tcW w:w="448" w:type="dxa"/>
            <w:vMerge/>
            <w:tcBorders>
              <w:top w:val="single" w:sz="4" w:space="0" w:color="auto"/>
              <w:left w:val="single" w:sz="4" w:space="0" w:color="auto"/>
              <w:bottom w:val="single" w:sz="4" w:space="0" w:color="auto"/>
              <w:right w:val="single" w:sz="4" w:space="0" w:color="auto"/>
            </w:tcBorders>
            <w:vAlign w:val="center"/>
            <w:hideMark/>
          </w:tcPr>
          <w:p w:rsidR="00DF74BD" w:rsidRPr="00A53C83" w:rsidRDefault="00DF74BD" w:rsidP="006B7F77">
            <w:pPr>
              <w:rPr>
                <w:b/>
                <w:sz w:val="18"/>
                <w:szCs w:val="18"/>
                <w:lang w:eastAsia="en-US"/>
              </w:rPr>
            </w:pPr>
          </w:p>
        </w:tc>
        <w:tc>
          <w:tcPr>
            <w:tcW w:w="1962" w:type="dxa"/>
            <w:vMerge/>
            <w:tcBorders>
              <w:top w:val="single" w:sz="4" w:space="0" w:color="auto"/>
              <w:left w:val="nil"/>
              <w:bottom w:val="single" w:sz="4" w:space="0" w:color="auto"/>
              <w:right w:val="single" w:sz="4" w:space="0" w:color="auto"/>
            </w:tcBorders>
            <w:vAlign w:val="center"/>
            <w:hideMark/>
          </w:tcPr>
          <w:p w:rsidR="00DF74BD" w:rsidRPr="00A53C83" w:rsidRDefault="00DF74BD" w:rsidP="006B7F77">
            <w:pPr>
              <w:rPr>
                <w:b/>
                <w:sz w:val="18"/>
                <w:szCs w:val="18"/>
                <w:lang w:eastAsia="en-US"/>
              </w:rPr>
            </w:pPr>
          </w:p>
        </w:tc>
        <w:tc>
          <w:tcPr>
            <w:tcW w:w="667" w:type="dxa"/>
            <w:vMerge/>
            <w:tcBorders>
              <w:left w:val="single" w:sz="4" w:space="0" w:color="auto"/>
              <w:bottom w:val="single" w:sz="4" w:space="0" w:color="auto"/>
              <w:right w:val="single" w:sz="4" w:space="0" w:color="auto"/>
            </w:tcBorders>
            <w:vAlign w:val="center"/>
            <w:hideMark/>
          </w:tcPr>
          <w:p w:rsidR="00DF74BD" w:rsidRPr="00A53C83" w:rsidRDefault="00DF74BD" w:rsidP="006B7F77">
            <w:pPr>
              <w:spacing w:line="276" w:lineRule="auto"/>
              <w:jc w:val="center"/>
              <w:rPr>
                <w:b/>
                <w:sz w:val="18"/>
                <w:szCs w:val="18"/>
                <w:lang w:eastAsia="en-US"/>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DF74BD" w:rsidRPr="00A53C83" w:rsidRDefault="00DF74BD" w:rsidP="006B7F77">
            <w:pPr>
              <w:rPr>
                <w:b/>
                <w:sz w:val="18"/>
                <w:szCs w:val="18"/>
                <w:lang w:val="en-US" w:eastAsia="en-US"/>
              </w:rPr>
            </w:pPr>
          </w:p>
        </w:tc>
        <w:tc>
          <w:tcPr>
            <w:tcW w:w="850" w:type="dxa"/>
            <w:tcBorders>
              <w:top w:val="single" w:sz="4" w:space="0" w:color="auto"/>
              <w:left w:val="nil"/>
              <w:bottom w:val="single" w:sz="4" w:space="0" w:color="auto"/>
              <w:right w:val="single" w:sz="4" w:space="0" w:color="auto"/>
            </w:tcBorders>
            <w:vAlign w:val="center"/>
            <w:hideMark/>
          </w:tcPr>
          <w:p w:rsidR="00DF74BD" w:rsidRPr="00A53C83" w:rsidRDefault="00DF74BD" w:rsidP="00DF74BD">
            <w:pPr>
              <w:spacing w:line="276" w:lineRule="auto"/>
              <w:jc w:val="center"/>
              <w:rPr>
                <w:b/>
                <w:sz w:val="18"/>
                <w:szCs w:val="18"/>
                <w:lang w:eastAsia="en-US"/>
              </w:rPr>
            </w:pPr>
            <w:r w:rsidRPr="00A53C83">
              <w:rPr>
                <w:b/>
                <w:sz w:val="18"/>
                <w:szCs w:val="18"/>
                <w:lang w:eastAsia="en-US"/>
              </w:rPr>
              <w:t xml:space="preserve">Цена за </w:t>
            </w:r>
            <w:proofErr w:type="spellStart"/>
            <w:proofErr w:type="gramStart"/>
            <w:r w:rsidRPr="00A53C83">
              <w:rPr>
                <w:b/>
                <w:sz w:val="18"/>
                <w:szCs w:val="18"/>
                <w:lang w:eastAsia="en-US"/>
              </w:rPr>
              <w:t>ед</w:t>
            </w:r>
            <w:proofErr w:type="spellEnd"/>
            <w:proofErr w:type="gramEnd"/>
            <w:r w:rsidRPr="00A53C83">
              <w:rPr>
                <w:b/>
                <w:sz w:val="18"/>
                <w:szCs w:val="18"/>
                <w:lang w:eastAsia="en-US"/>
              </w:rPr>
              <w:t>, руб. (</w:t>
            </w:r>
            <w:r w:rsidRPr="00A53C83">
              <w:rPr>
                <w:b/>
                <w:i/>
                <w:sz w:val="18"/>
                <w:szCs w:val="18"/>
                <w:lang w:eastAsia="en-US"/>
              </w:rPr>
              <w:t>Ц</w:t>
            </w:r>
            <w:r w:rsidRPr="00DF74BD">
              <w:rPr>
                <w:b/>
                <w:i/>
                <w:sz w:val="18"/>
                <w:szCs w:val="18"/>
                <w:vertAlign w:val="subscript"/>
                <w:lang w:eastAsia="en-US"/>
              </w:rPr>
              <w:t>1</w:t>
            </w:r>
            <w:r w:rsidRPr="00A53C83">
              <w:rPr>
                <w:b/>
                <w:sz w:val="18"/>
                <w:szCs w:val="18"/>
                <w:lang w:eastAsia="en-US"/>
              </w:rPr>
              <w:t>)</w:t>
            </w:r>
          </w:p>
        </w:tc>
        <w:tc>
          <w:tcPr>
            <w:tcW w:w="851" w:type="dxa"/>
            <w:tcBorders>
              <w:top w:val="single" w:sz="4" w:space="0" w:color="auto"/>
              <w:left w:val="nil"/>
              <w:bottom w:val="single" w:sz="4" w:space="0" w:color="auto"/>
              <w:right w:val="single" w:sz="4" w:space="0" w:color="auto"/>
            </w:tcBorders>
            <w:vAlign w:val="center"/>
            <w:hideMark/>
          </w:tcPr>
          <w:p w:rsidR="00DF74BD" w:rsidRPr="00A53C83" w:rsidRDefault="00DF74BD" w:rsidP="00547273">
            <w:pPr>
              <w:spacing w:line="276" w:lineRule="auto"/>
              <w:jc w:val="center"/>
              <w:rPr>
                <w:b/>
                <w:sz w:val="18"/>
                <w:szCs w:val="18"/>
                <w:lang w:eastAsia="en-US"/>
              </w:rPr>
            </w:pPr>
            <w:r w:rsidRPr="00A53C83">
              <w:rPr>
                <w:b/>
                <w:sz w:val="18"/>
                <w:szCs w:val="18"/>
                <w:lang w:eastAsia="en-US"/>
              </w:rPr>
              <w:t xml:space="preserve">Цена за </w:t>
            </w:r>
            <w:proofErr w:type="spellStart"/>
            <w:proofErr w:type="gramStart"/>
            <w:r w:rsidRPr="00A53C83">
              <w:rPr>
                <w:b/>
                <w:sz w:val="18"/>
                <w:szCs w:val="18"/>
                <w:lang w:eastAsia="en-US"/>
              </w:rPr>
              <w:t>ед</w:t>
            </w:r>
            <w:proofErr w:type="spellEnd"/>
            <w:proofErr w:type="gramEnd"/>
            <w:r w:rsidRPr="00A53C83">
              <w:rPr>
                <w:b/>
                <w:sz w:val="18"/>
                <w:szCs w:val="18"/>
                <w:lang w:eastAsia="en-US"/>
              </w:rPr>
              <w:t>, руб. (</w:t>
            </w:r>
            <w:r w:rsidRPr="00A53C83">
              <w:rPr>
                <w:b/>
                <w:i/>
                <w:sz w:val="18"/>
                <w:szCs w:val="18"/>
                <w:lang w:eastAsia="en-US"/>
              </w:rPr>
              <w:t>Ц</w:t>
            </w:r>
            <w:r>
              <w:rPr>
                <w:b/>
                <w:i/>
                <w:sz w:val="18"/>
                <w:szCs w:val="18"/>
                <w:vertAlign w:val="subscript"/>
                <w:lang w:eastAsia="en-US"/>
              </w:rPr>
              <w:t>2</w:t>
            </w:r>
            <w:r w:rsidRPr="00A53C83">
              <w:rPr>
                <w:b/>
                <w:sz w:val="18"/>
                <w:szCs w:val="18"/>
                <w:lang w:eastAsia="en-US"/>
              </w:rPr>
              <w:t>)</w:t>
            </w:r>
          </w:p>
        </w:tc>
        <w:tc>
          <w:tcPr>
            <w:tcW w:w="850" w:type="dxa"/>
            <w:tcBorders>
              <w:top w:val="single" w:sz="4" w:space="0" w:color="auto"/>
              <w:left w:val="nil"/>
              <w:bottom w:val="single" w:sz="4" w:space="0" w:color="auto"/>
              <w:right w:val="single" w:sz="4" w:space="0" w:color="auto"/>
            </w:tcBorders>
            <w:vAlign w:val="center"/>
            <w:hideMark/>
          </w:tcPr>
          <w:p w:rsidR="00DF74BD" w:rsidRPr="00A53C83" w:rsidRDefault="00DF74BD" w:rsidP="00DF74BD">
            <w:pPr>
              <w:spacing w:line="276" w:lineRule="auto"/>
              <w:jc w:val="center"/>
              <w:rPr>
                <w:b/>
                <w:sz w:val="18"/>
                <w:szCs w:val="18"/>
                <w:lang w:eastAsia="en-US"/>
              </w:rPr>
            </w:pPr>
            <w:r w:rsidRPr="00A53C83">
              <w:rPr>
                <w:b/>
                <w:sz w:val="18"/>
                <w:szCs w:val="18"/>
                <w:lang w:eastAsia="en-US"/>
              </w:rPr>
              <w:t xml:space="preserve">Цена за </w:t>
            </w:r>
            <w:proofErr w:type="spellStart"/>
            <w:proofErr w:type="gramStart"/>
            <w:r w:rsidRPr="00A53C83">
              <w:rPr>
                <w:b/>
                <w:sz w:val="18"/>
                <w:szCs w:val="18"/>
                <w:lang w:eastAsia="en-US"/>
              </w:rPr>
              <w:t>ед</w:t>
            </w:r>
            <w:proofErr w:type="spellEnd"/>
            <w:proofErr w:type="gramEnd"/>
            <w:r w:rsidRPr="00A53C83">
              <w:rPr>
                <w:b/>
                <w:sz w:val="18"/>
                <w:szCs w:val="18"/>
                <w:lang w:eastAsia="en-US"/>
              </w:rPr>
              <w:t>, руб. (</w:t>
            </w:r>
            <w:r w:rsidRPr="00A53C83">
              <w:rPr>
                <w:b/>
                <w:i/>
                <w:sz w:val="18"/>
                <w:szCs w:val="18"/>
                <w:lang w:eastAsia="en-US"/>
              </w:rPr>
              <w:t>Ц</w:t>
            </w:r>
            <w:r>
              <w:rPr>
                <w:b/>
                <w:i/>
                <w:sz w:val="18"/>
                <w:szCs w:val="18"/>
                <w:vertAlign w:val="subscript"/>
                <w:lang w:eastAsia="en-US"/>
              </w:rPr>
              <w:t>3</w:t>
            </w:r>
            <w:r w:rsidRPr="00A53C83">
              <w:rPr>
                <w:b/>
                <w:sz w:val="18"/>
                <w:szCs w:val="18"/>
                <w:lang w:eastAsia="en-US"/>
              </w:rPr>
              <w:t>)</w:t>
            </w:r>
          </w:p>
        </w:tc>
        <w:tc>
          <w:tcPr>
            <w:tcW w:w="822" w:type="dxa"/>
            <w:vMerge/>
            <w:tcBorders>
              <w:left w:val="single" w:sz="4" w:space="0" w:color="auto"/>
              <w:bottom w:val="single" w:sz="4" w:space="0" w:color="auto"/>
              <w:right w:val="single" w:sz="4" w:space="0" w:color="auto"/>
            </w:tcBorders>
            <w:vAlign w:val="center"/>
            <w:hideMark/>
          </w:tcPr>
          <w:p w:rsidR="00DF74BD" w:rsidRPr="00A53C83" w:rsidRDefault="00DF74BD" w:rsidP="006B7F77">
            <w:pPr>
              <w:spacing w:line="276" w:lineRule="auto"/>
              <w:jc w:val="center"/>
              <w:rPr>
                <w:b/>
                <w:sz w:val="18"/>
                <w:szCs w:val="18"/>
                <w:lang w:eastAsia="en-US"/>
              </w:rPr>
            </w:pPr>
          </w:p>
        </w:tc>
        <w:tc>
          <w:tcPr>
            <w:tcW w:w="1275" w:type="dxa"/>
            <w:vMerge/>
            <w:tcBorders>
              <w:left w:val="nil"/>
              <w:bottom w:val="single" w:sz="4" w:space="0" w:color="auto"/>
              <w:right w:val="single" w:sz="4" w:space="0" w:color="auto"/>
            </w:tcBorders>
            <w:vAlign w:val="center"/>
            <w:hideMark/>
          </w:tcPr>
          <w:p w:rsidR="00DF74BD" w:rsidRPr="00A53C83" w:rsidRDefault="00DF74BD" w:rsidP="006B7F77">
            <w:pPr>
              <w:spacing w:line="276" w:lineRule="auto"/>
              <w:jc w:val="center"/>
              <w:rPr>
                <w:b/>
                <w:noProof/>
                <w:sz w:val="18"/>
                <w:szCs w:val="18"/>
                <w:lang w:eastAsia="en-US"/>
              </w:rPr>
            </w:pPr>
          </w:p>
        </w:tc>
        <w:tc>
          <w:tcPr>
            <w:tcW w:w="1179" w:type="dxa"/>
            <w:vMerge/>
            <w:tcBorders>
              <w:left w:val="nil"/>
              <w:bottom w:val="single" w:sz="4" w:space="0" w:color="auto"/>
              <w:right w:val="single" w:sz="4" w:space="0" w:color="auto"/>
            </w:tcBorders>
            <w:vAlign w:val="center"/>
            <w:hideMark/>
          </w:tcPr>
          <w:p w:rsidR="00DF74BD" w:rsidRPr="00A53C83" w:rsidRDefault="00DF74BD" w:rsidP="006B7F77">
            <w:pPr>
              <w:spacing w:line="276" w:lineRule="auto"/>
              <w:jc w:val="center"/>
              <w:rPr>
                <w:noProof/>
                <w:sz w:val="18"/>
                <w:szCs w:val="18"/>
                <w:lang w:eastAsia="en-US"/>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DF74BD" w:rsidRPr="00A53C83" w:rsidRDefault="00DF74BD" w:rsidP="006B7F77">
            <w:pPr>
              <w:spacing w:line="276" w:lineRule="auto"/>
              <w:jc w:val="center"/>
              <w:rPr>
                <w:noProof/>
                <w:position w:val="-27"/>
                <w:sz w:val="18"/>
                <w:szCs w:val="18"/>
                <w:lang w:eastAsia="en-US"/>
              </w:rPr>
            </w:pPr>
          </w:p>
        </w:tc>
      </w:tr>
      <w:tr w:rsidR="001124BF" w:rsidRPr="00A53C83" w:rsidTr="001124BF">
        <w:trPr>
          <w:trHeight w:val="56"/>
        </w:trPr>
        <w:tc>
          <w:tcPr>
            <w:tcW w:w="448" w:type="dxa"/>
            <w:tcBorders>
              <w:top w:val="single" w:sz="4" w:space="0" w:color="auto"/>
              <w:left w:val="single" w:sz="4" w:space="0" w:color="auto"/>
              <w:bottom w:val="single" w:sz="4" w:space="0" w:color="auto"/>
              <w:right w:val="single" w:sz="4" w:space="0" w:color="auto"/>
            </w:tcBorders>
            <w:noWrap/>
            <w:vAlign w:val="center"/>
            <w:hideMark/>
          </w:tcPr>
          <w:p w:rsidR="001124BF" w:rsidRPr="00A53C83" w:rsidRDefault="001124BF" w:rsidP="00A53C83">
            <w:pPr>
              <w:jc w:val="center"/>
              <w:rPr>
                <w:sz w:val="18"/>
                <w:szCs w:val="18"/>
                <w:lang w:eastAsia="en-US"/>
              </w:rPr>
            </w:pPr>
            <w:r w:rsidRPr="00A53C83">
              <w:rPr>
                <w:sz w:val="18"/>
                <w:szCs w:val="18"/>
                <w:lang w:eastAsia="en-US"/>
              </w:rPr>
              <w:t>1</w:t>
            </w:r>
          </w:p>
        </w:tc>
        <w:tc>
          <w:tcPr>
            <w:tcW w:w="1962" w:type="dxa"/>
            <w:tcBorders>
              <w:top w:val="single" w:sz="4" w:space="0" w:color="auto"/>
              <w:left w:val="nil"/>
              <w:bottom w:val="single" w:sz="4" w:space="0" w:color="auto"/>
              <w:right w:val="single" w:sz="4" w:space="0" w:color="auto"/>
            </w:tcBorders>
          </w:tcPr>
          <w:p w:rsidR="001124BF" w:rsidRPr="001124BF" w:rsidRDefault="001124BF" w:rsidP="001124BF">
            <w:pPr>
              <w:shd w:val="clear" w:color="auto" w:fill="FFFFFF"/>
              <w:rPr>
                <w:color w:val="000000"/>
                <w:sz w:val="18"/>
                <w:szCs w:val="18"/>
              </w:rPr>
            </w:pPr>
            <w:r w:rsidRPr="001124BF">
              <w:rPr>
                <w:bCs/>
                <w:sz w:val="18"/>
                <w:szCs w:val="18"/>
              </w:rPr>
              <w:t xml:space="preserve">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1124BF">
              <w:rPr>
                <w:bCs/>
                <w:sz w:val="18"/>
                <w:szCs w:val="18"/>
              </w:rPr>
              <w:t>Kaspersky</w:t>
            </w:r>
            <w:proofErr w:type="spellEnd"/>
            <w:r w:rsidRPr="001124BF">
              <w:rPr>
                <w:bCs/>
                <w:sz w:val="18"/>
                <w:szCs w:val="18"/>
              </w:rPr>
              <w:t xml:space="preserve"> EDR для бизнеса - </w:t>
            </w:r>
            <w:proofErr w:type="gramStart"/>
            <w:r w:rsidRPr="001124BF">
              <w:rPr>
                <w:bCs/>
                <w:sz w:val="18"/>
                <w:szCs w:val="18"/>
              </w:rPr>
              <w:t>Оптимальный</w:t>
            </w:r>
            <w:proofErr w:type="gramEnd"/>
            <w:r w:rsidRPr="001124BF">
              <w:rPr>
                <w:bCs/>
                <w:sz w:val="18"/>
                <w:szCs w:val="18"/>
              </w:rPr>
              <w:t xml:space="preserve"> </w:t>
            </w:r>
            <w:proofErr w:type="spellStart"/>
            <w:r w:rsidRPr="001124BF">
              <w:rPr>
                <w:bCs/>
                <w:sz w:val="18"/>
                <w:szCs w:val="18"/>
              </w:rPr>
              <w:t>Russian</w:t>
            </w:r>
            <w:proofErr w:type="spellEnd"/>
            <w:r w:rsidRPr="001124BF">
              <w:rPr>
                <w:bCs/>
                <w:sz w:val="18"/>
                <w:szCs w:val="18"/>
              </w:rPr>
              <w:t xml:space="preserve"> </w:t>
            </w:r>
            <w:proofErr w:type="spellStart"/>
            <w:r w:rsidRPr="001124BF">
              <w:rPr>
                <w:bCs/>
                <w:sz w:val="18"/>
                <w:szCs w:val="18"/>
              </w:rPr>
              <w:t>Edition</w:t>
            </w:r>
            <w:proofErr w:type="spellEnd"/>
            <w:r w:rsidRPr="001124BF">
              <w:rPr>
                <w:bCs/>
                <w:sz w:val="18"/>
                <w:szCs w:val="18"/>
              </w:rPr>
              <w:t xml:space="preserve">. 500-999 </w:t>
            </w:r>
            <w:proofErr w:type="spellStart"/>
            <w:r w:rsidRPr="001124BF">
              <w:rPr>
                <w:bCs/>
                <w:sz w:val="18"/>
                <w:szCs w:val="18"/>
              </w:rPr>
              <w:t>Node</w:t>
            </w:r>
            <w:proofErr w:type="spellEnd"/>
            <w:r w:rsidRPr="001124BF">
              <w:rPr>
                <w:bCs/>
                <w:sz w:val="18"/>
                <w:szCs w:val="18"/>
              </w:rPr>
              <w:t xml:space="preserve"> 1 </w:t>
            </w:r>
            <w:proofErr w:type="spellStart"/>
            <w:r w:rsidRPr="001124BF">
              <w:rPr>
                <w:bCs/>
                <w:sz w:val="18"/>
                <w:szCs w:val="18"/>
              </w:rPr>
              <w:t>year</w:t>
            </w:r>
            <w:proofErr w:type="spellEnd"/>
            <w:r w:rsidRPr="001124BF">
              <w:rPr>
                <w:bCs/>
                <w:sz w:val="18"/>
                <w:szCs w:val="18"/>
              </w:rPr>
              <w:t xml:space="preserve"> </w:t>
            </w:r>
            <w:proofErr w:type="spellStart"/>
            <w:r w:rsidRPr="001124BF">
              <w:rPr>
                <w:bCs/>
                <w:sz w:val="18"/>
                <w:szCs w:val="18"/>
              </w:rPr>
              <w:t>Renewal</w:t>
            </w:r>
            <w:proofErr w:type="spellEnd"/>
            <w:r w:rsidRPr="001124BF">
              <w:rPr>
                <w:bCs/>
                <w:sz w:val="18"/>
                <w:szCs w:val="18"/>
              </w:rPr>
              <w:t xml:space="preserve"> </w:t>
            </w:r>
            <w:proofErr w:type="spellStart"/>
            <w:r w:rsidRPr="001124BF">
              <w:rPr>
                <w:bCs/>
                <w:sz w:val="18"/>
                <w:szCs w:val="18"/>
              </w:rPr>
              <w:t>License</w:t>
            </w:r>
            <w:proofErr w:type="spellEnd"/>
          </w:p>
        </w:tc>
        <w:tc>
          <w:tcPr>
            <w:tcW w:w="667" w:type="dxa"/>
            <w:tcBorders>
              <w:top w:val="single" w:sz="4" w:space="0" w:color="auto"/>
              <w:left w:val="single" w:sz="4" w:space="0" w:color="auto"/>
              <w:bottom w:val="single" w:sz="4" w:space="0" w:color="auto"/>
              <w:right w:val="single" w:sz="4" w:space="0" w:color="auto"/>
            </w:tcBorders>
            <w:vAlign w:val="center"/>
          </w:tcPr>
          <w:p w:rsidR="001124BF" w:rsidRPr="00A53C83" w:rsidRDefault="001124BF" w:rsidP="00A53C83">
            <w:pPr>
              <w:jc w:val="center"/>
              <w:rPr>
                <w:color w:val="000000"/>
                <w:sz w:val="18"/>
                <w:szCs w:val="18"/>
              </w:rPr>
            </w:pPr>
            <w:r>
              <w:rPr>
                <w:color w:val="000000"/>
                <w:sz w:val="18"/>
                <w:szCs w:val="18"/>
              </w:rPr>
              <w:t>Шт.</w:t>
            </w:r>
          </w:p>
        </w:tc>
        <w:tc>
          <w:tcPr>
            <w:tcW w:w="609" w:type="dxa"/>
            <w:tcBorders>
              <w:top w:val="single" w:sz="4" w:space="0" w:color="auto"/>
              <w:left w:val="single" w:sz="4" w:space="0" w:color="auto"/>
              <w:bottom w:val="single" w:sz="4" w:space="0" w:color="auto"/>
              <w:right w:val="single" w:sz="4" w:space="0" w:color="auto"/>
            </w:tcBorders>
            <w:vAlign w:val="center"/>
          </w:tcPr>
          <w:p w:rsidR="001124BF" w:rsidRPr="00A53C83" w:rsidRDefault="001124BF" w:rsidP="00A53C83">
            <w:pPr>
              <w:jc w:val="center"/>
              <w:rPr>
                <w:color w:val="000000"/>
                <w:sz w:val="18"/>
                <w:szCs w:val="18"/>
              </w:rPr>
            </w:pPr>
            <w:r>
              <w:rPr>
                <w:color w:val="000000"/>
                <w:sz w:val="18"/>
                <w:szCs w:val="18"/>
              </w:rPr>
              <w:t>620</w:t>
            </w:r>
          </w:p>
        </w:tc>
        <w:tc>
          <w:tcPr>
            <w:tcW w:w="850" w:type="dxa"/>
            <w:tcBorders>
              <w:top w:val="single" w:sz="4" w:space="0" w:color="auto"/>
              <w:left w:val="nil"/>
              <w:bottom w:val="single" w:sz="4" w:space="0" w:color="auto"/>
              <w:right w:val="single" w:sz="4" w:space="0" w:color="auto"/>
            </w:tcBorders>
            <w:vAlign w:val="center"/>
          </w:tcPr>
          <w:p w:rsidR="001124BF" w:rsidRPr="00A53C83" w:rsidRDefault="001124BF" w:rsidP="00A53C83">
            <w:pPr>
              <w:jc w:val="center"/>
              <w:rPr>
                <w:color w:val="000000"/>
                <w:sz w:val="18"/>
                <w:szCs w:val="18"/>
                <w:lang w:eastAsia="en-US"/>
              </w:rPr>
            </w:pPr>
            <w:r>
              <w:rPr>
                <w:color w:val="000000"/>
                <w:sz w:val="18"/>
                <w:szCs w:val="18"/>
                <w:lang w:eastAsia="en-US"/>
              </w:rPr>
              <w:t>1086,49</w:t>
            </w:r>
          </w:p>
        </w:tc>
        <w:tc>
          <w:tcPr>
            <w:tcW w:w="851" w:type="dxa"/>
            <w:tcBorders>
              <w:top w:val="single" w:sz="4" w:space="0" w:color="auto"/>
              <w:left w:val="nil"/>
              <w:bottom w:val="single" w:sz="4" w:space="0" w:color="auto"/>
              <w:right w:val="single" w:sz="4" w:space="0" w:color="auto"/>
            </w:tcBorders>
            <w:vAlign w:val="center"/>
          </w:tcPr>
          <w:p w:rsidR="001124BF" w:rsidRPr="00A53C83" w:rsidRDefault="001124BF" w:rsidP="00A53C83">
            <w:pPr>
              <w:jc w:val="center"/>
              <w:rPr>
                <w:color w:val="000000"/>
                <w:sz w:val="18"/>
                <w:szCs w:val="18"/>
                <w:lang w:eastAsia="en-US"/>
              </w:rPr>
            </w:pPr>
            <w:r>
              <w:rPr>
                <w:color w:val="000000"/>
                <w:sz w:val="18"/>
                <w:szCs w:val="18"/>
                <w:lang w:eastAsia="en-US"/>
              </w:rPr>
              <w:t>1088,00</w:t>
            </w:r>
          </w:p>
        </w:tc>
        <w:tc>
          <w:tcPr>
            <w:tcW w:w="850" w:type="dxa"/>
            <w:tcBorders>
              <w:top w:val="single" w:sz="4" w:space="0" w:color="auto"/>
              <w:left w:val="nil"/>
              <w:bottom w:val="single" w:sz="4" w:space="0" w:color="auto"/>
              <w:right w:val="single" w:sz="4" w:space="0" w:color="auto"/>
            </w:tcBorders>
            <w:vAlign w:val="center"/>
          </w:tcPr>
          <w:p w:rsidR="001124BF" w:rsidRPr="00A53C83" w:rsidRDefault="001124BF" w:rsidP="00A53C83">
            <w:pPr>
              <w:jc w:val="center"/>
              <w:rPr>
                <w:color w:val="000000"/>
                <w:sz w:val="18"/>
                <w:szCs w:val="18"/>
                <w:lang w:eastAsia="en-US"/>
              </w:rPr>
            </w:pPr>
            <w:r>
              <w:rPr>
                <w:color w:val="000000"/>
                <w:sz w:val="18"/>
                <w:szCs w:val="18"/>
                <w:lang w:eastAsia="en-US"/>
              </w:rPr>
              <w:t>1090,00</w:t>
            </w:r>
          </w:p>
        </w:tc>
        <w:tc>
          <w:tcPr>
            <w:tcW w:w="822" w:type="dxa"/>
            <w:tcBorders>
              <w:top w:val="single" w:sz="4" w:space="0" w:color="auto"/>
              <w:left w:val="single" w:sz="4" w:space="0" w:color="auto"/>
              <w:bottom w:val="single" w:sz="4" w:space="0" w:color="auto"/>
              <w:right w:val="single" w:sz="4" w:space="0" w:color="auto"/>
            </w:tcBorders>
            <w:vAlign w:val="center"/>
          </w:tcPr>
          <w:p w:rsidR="001124BF" w:rsidRPr="00A53C83" w:rsidRDefault="001124BF" w:rsidP="00A53C83">
            <w:pPr>
              <w:jc w:val="center"/>
              <w:rPr>
                <w:color w:val="000000"/>
                <w:sz w:val="18"/>
                <w:szCs w:val="18"/>
              </w:rPr>
            </w:pPr>
            <w:r>
              <w:rPr>
                <w:color w:val="000000"/>
                <w:sz w:val="18"/>
                <w:szCs w:val="18"/>
              </w:rPr>
              <w:t>1088,16</w:t>
            </w:r>
          </w:p>
        </w:tc>
        <w:tc>
          <w:tcPr>
            <w:tcW w:w="1275" w:type="dxa"/>
            <w:tcBorders>
              <w:top w:val="single" w:sz="4" w:space="0" w:color="auto"/>
              <w:left w:val="nil"/>
              <w:bottom w:val="single" w:sz="4" w:space="0" w:color="auto"/>
              <w:right w:val="single" w:sz="4" w:space="0" w:color="auto"/>
            </w:tcBorders>
            <w:vAlign w:val="center"/>
          </w:tcPr>
          <w:p w:rsidR="001124BF" w:rsidRPr="00A53C83" w:rsidRDefault="001124BF" w:rsidP="00A53C83">
            <w:pPr>
              <w:jc w:val="center"/>
              <w:rPr>
                <w:color w:val="000000"/>
                <w:sz w:val="18"/>
                <w:szCs w:val="18"/>
              </w:rPr>
            </w:pPr>
            <w:r>
              <w:rPr>
                <w:color w:val="000000"/>
                <w:sz w:val="18"/>
                <w:szCs w:val="18"/>
              </w:rPr>
              <w:t>1,76</w:t>
            </w:r>
          </w:p>
        </w:tc>
        <w:tc>
          <w:tcPr>
            <w:tcW w:w="1179" w:type="dxa"/>
            <w:tcBorders>
              <w:top w:val="single" w:sz="4" w:space="0" w:color="auto"/>
              <w:left w:val="nil"/>
              <w:bottom w:val="single" w:sz="4" w:space="0" w:color="auto"/>
              <w:right w:val="single" w:sz="4" w:space="0" w:color="auto"/>
            </w:tcBorders>
            <w:vAlign w:val="center"/>
          </w:tcPr>
          <w:p w:rsidR="001124BF" w:rsidRPr="00A53C83" w:rsidRDefault="001124BF" w:rsidP="00A53C83">
            <w:pPr>
              <w:jc w:val="center"/>
              <w:rPr>
                <w:color w:val="000000"/>
                <w:sz w:val="18"/>
                <w:szCs w:val="18"/>
              </w:rPr>
            </w:pPr>
            <w:r>
              <w:rPr>
                <w:color w:val="000000"/>
                <w:sz w:val="18"/>
                <w:szCs w:val="18"/>
              </w:rPr>
              <w:t>0,16</w:t>
            </w:r>
          </w:p>
        </w:tc>
        <w:tc>
          <w:tcPr>
            <w:tcW w:w="1230" w:type="dxa"/>
            <w:tcBorders>
              <w:top w:val="single" w:sz="4" w:space="0" w:color="auto"/>
              <w:left w:val="single" w:sz="4" w:space="0" w:color="auto"/>
              <w:bottom w:val="single" w:sz="4" w:space="0" w:color="auto"/>
              <w:right w:val="single" w:sz="4" w:space="0" w:color="auto"/>
            </w:tcBorders>
            <w:vAlign w:val="center"/>
          </w:tcPr>
          <w:p w:rsidR="001124BF" w:rsidRPr="00A53C83" w:rsidRDefault="001124BF" w:rsidP="001124BF">
            <w:pPr>
              <w:jc w:val="right"/>
              <w:rPr>
                <w:color w:val="000000"/>
                <w:sz w:val="18"/>
                <w:szCs w:val="18"/>
              </w:rPr>
            </w:pPr>
            <w:r>
              <w:rPr>
                <w:color w:val="000000"/>
                <w:sz w:val="18"/>
                <w:szCs w:val="18"/>
              </w:rPr>
              <w:t>674</w:t>
            </w:r>
            <w:r w:rsidR="003B49D8">
              <w:rPr>
                <w:color w:val="000000"/>
                <w:sz w:val="18"/>
                <w:szCs w:val="18"/>
              </w:rPr>
              <w:t xml:space="preserve"> </w:t>
            </w:r>
            <w:r>
              <w:rPr>
                <w:color w:val="000000"/>
                <w:sz w:val="18"/>
                <w:szCs w:val="18"/>
              </w:rPr>
              <w:t>661,27</w:t>
            </w:r>
          </w:p>
        </w:tc>
      </w:tr>
      <w:tr w:rsidR="006B7F77" w:rsidRPr="00A53C83" w:rsidTr="00A53C83">
        <w:trPr>
          <w:trHeight w:val="56"/>
        </w:trPr>
        <w:tc>
          <w:tcPr>
            <w:tcW w:w="9513" w:type="dxa"/>
            <w:gridSpan w:val="10"/>
            <w:tcBorders>
              <w:top w:val="single" w:sz="4" w:space="0" w:color="auto"/>
              <w:left w:val="single" w:sz="4" w:space="0" w:color="auto"/>
              <w:bottom w:val="single" w:sz="4" w:space="0" w:color="auto"/>
              <w:right w:val="single" w:sz="4" w:space="0" w:color="auto"/>
            </w:tcBorders>
            <w:noWrap/>
            <w:vAlign w:val="center"/>
          </w:tcPr>
          <w:p w:rsidR="006B7F77" w:rsidRPr="00A53C83" w:rsidRDefault="006B7F77" w:rsidP="00A53C83">
            <w:pPr>
              <w:jc w:val="center"/>
              <w:rPr>
                <w:color w:val="000000"/>
                <w:sz w:val="18"/>
                <w:szCs w:val="18"/>
              </w:rPr>
            </w:pPr>
            <w:r w:rsidRPr="00A53C83">
              <w:rPr>
                <w:color w:val="000000"/>
                <w:sz w:val="18"/>
                <w:szCs w:val="18"/>
              </w:rPr>
              <w:t>Итого</w:t>
            </w:r>
          </w:p>
        </w:tc>
        <w:tc>
          <w:tcPr>
            <w:tcW w:w="1230" w:type="dxa"/>
            <w:tcBorders>
              <w:top w:val="single" w:sz="4" w:space="0" w:color="auto"/>
              <w:left w:val="single" w:sz="4" w:space="0" w:color="auto"/>
              <w:bottom w:val="single" w:sz="4" w:space="0" w:color="auto"/>
              <w:right w:val="single" w:sz="4" w:space="0" w:color="auto"/>
            </w:tcBorders>
            <w:vAlign w:val="center"/>
          </w:tcPr>
          <w:p w:rsidR="006B7F77" w:rsidRPr="00A53C83" w:rsidRDefault="001124BF" w:rsidP="00A53C83">
            <w:pPr>
              <w:jc w:val="right"/>
              <w:rPr>
                <w:color w:val="000000"/>
                <w:sz w:val="18"/>
                <w:szCs w:val="18"/>
              </w:rPr>
            </w:pPr>
            <w:r>
              <w:rPr>
                <w:color w:val="000000"/>
                <w:sz w:val="18"/>
                <w:szCs w:val="18"/>
              </w:rPr>
              <w:t>674</w:t>
            </w:r>
            <w:r w:rsidR="003B49D8">
              <w:rPr>
                <w:color w:val="000000"/>
                <w:sz w:val="18"/>
                <w:szCs w:val="18"/>
              </w:rPr>
              <w:t xml:space="preserve"> </w:t>
            </w:r>
            <w:r>
              <w:rPr>
                <w:color w:val="000000"/>
                <w:sz w:val="18"/>
                <w:szCs w:val="18"/>
              </w:rPr>
              <w:t>661,27</w:t>
            </w:r>
          </w:p>
        </w:tc>
      </w:tr>
    </w:tbl>
    <w:p w:rsidR="006B7F77" w:rsidRDefault="00DF74BD" w:rsidP="006B7F77">
      <w:pPr>
        <w:rPr>
          <w:sz w:val="18"/>
          <w:szCs w:val="18"/>
        </w:rPr>
      </w:pPr>
      <w:r>
        <w:rPr>
          <w:sz w:val="20"/>
        </w:rPr>
        <w:t>*</w:t>
      </w:r>
      <w:r w:rsidRPr="00DF74BD">
        <w:rPr>
          <w:sz w:val="28"/>
          <w:szCs w:val="28"/>
        </w:rPr>
        <w:t xml:space="preserve"> </w:t>
      </w:r>
      <w:r w:rsidRPr="00DF74BD">
        <w:rPr>
          <w:sz w:val="18"/>
          <w:szCs w:val="18"/>
        </w:rPr>
        <w:t xml:space="preserve">коэффициент вариации </w:t>
      </w:r>
      <w:r>
        <w:rPr>
          <w:sz w:val="18"/>
          <w:szCs w:val="18"/>
        </w:rPr>
        <w:t xml:space="preserve">не должен </w:t>
      </w:r>
      <w:r w:rsidRPr="00DF74BD">
        <w:rPr>
          <w:sz w:val="18"/>
          <w:szCs w:val="18"/>
        </w:rPr>
        <w:t>превышат</w:t>
      </w:r>
      <w:r>
        <w:rPr>
          <w:sz w:val="18"/>
          <w:szCs w:val="18"/>
        </w:rPr>
        <w:t>ь</w:t>
      </w:r>
      <w:r w:rsidRPr="00DF74BD">
        <w:rPr>
          <w:sz w:val="18"/>
          <w:szCs w:val="18"/>
        </w:rPr>
        <w:t xml:space="preserve"> 33%</w:t>
      </w:r>
      <w:r>
        <w:rPr>
          <w:sz w:val="18"/>
          <w:szCs w:val="18"/>
        </w:rPr>
        <w:t>.</w:t>
      </w:r>
    </w:p>
    <w:p w:rsidR="00DF74BD" w:rsidRPr="00DF74BD" w:rsidRDefault="00DF74BD" w:rsidP="006B7F77">
      <w:pPr>
        <w:rPr>
          <w:sz w:val="18"/>
          <w:szCs w:val="18"/>
        </w:rPr>
      </w:pPr>
    </w:p>
    <w:p w:rsidR="006B7F77" w:rsidRDefault="003B49D8" w:rsidP="00A53C83">
      <w:pPr>
        <w:ind w:left="-426"/>
        <w:jc w:val="both"/>
        <w:rPr>
          <w:sz w:val="20"/>
        </w:rPr>
      </w:pPr>
      <w:r w:rsidRPr="003B49D8">
        <w:rPr>
          <w:sz w:val="20"/>
        </w:rPr>
        <w:t>Начальная (максимальная) цена договора устанавливается в размере 674 661,27 (шестьсот семьдесят четыре тысячи шестьсот шестьдесят один рубль 27 копеек) рублей</w:t>
      </w:r>
      <w:r>
        <w:rPr>
          <w:sz w:val="20"/>
        </w:rPr>
        <w:t>.</w:t>
      </w:r>
    </w:p>
    <w:p w:rsidR="003B49D8" w:rsidRDefault="003B49D8" w:rsidP="00A53C83">
      <w:pPr>
        <w:ind w:left="-426"/>
        <w:jc w:val="both"/>
        <w:rPr>
          <w:sz w:val="20"/>
        </w:rPr>
      </w:pPr>
    </w:p>
    <w:p w:rsidR="006B7F77" w:rsidRPr="00827BE0" w:rsidRDefault="006B7F77" w:rsidP="006B7F77">
      <w:pPr>
        <w:widowControl w:val="0"/>
        <w:autoSpaceDE w:val="0"/>
        <w:autoSpaceDN w:val="0"/>
        <w:adjustRightInd w:val="0"/>
        <w:rPr>
          <w:sz w:val="20"/>
        </w:rPr>
      </w:pPr>
    </w:p>
    <w:p w:rsidR="003D5B55" w:rsidRDefault="006B7F77" w:rsidP="00A53C83">
      <w:pPr>
        <w:outlineLvl w:val="1"/>
        <w:rPr>
          <w:b/>
          <w:sz w:val="20"/>
          <w:szCs w:val="20"/>
        </w:rPr>
      </w:pPr>
      <w:r>
        <w:rPr>
          <w:sz w:val="20"/>
        </w:rPr>
        <w:t>Эко</w:t>
      </w:r>
      <w:r w:rsidRPr="00827BE0">
        <w:rPr>
          <w:sz w:val="20"/>
        </w:rPr>
        <w:t xml:space="preserve">номист     _______________/ </w:t>
      </w:r>
      <w:r w:rsidR="00DF74BD">
        <w:rPr>
          <w:sz w:val="20"/>
        </w:rPr>
        <w:t>Островская Т.Б.</w:t>
      </w:r>
      <w:r w:rsidRPr="00827BE0">
        <w:rPr>
          <w:sz w:val="20"/>
        </w:rPr>
        <w:t xml:space="preserve"> /</w:t>
      </w:r>
    </w:p>
    <w:sectPr w:rsidR="003D5B55"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C19" w:rsidRDefault="009A6C19" w:rsidP="00ED57EB">
      <w:r>
        <w:separator/>
      </w:r>
    </w:p>
  </w:endnote>
  <w:endnote w:type="continuationSeparator" w:id="1">
    <w:p w:rsidR="009A6C19" w:rsidRDefault="009A6C1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124BF" w:rsidRDefault="00245CCB">
        <w:pPr>
          <w:pStyle w:val="af7"/>
          <w:jc w:val="right"/>
        </w:pPr>
        <w:fldSimple w:instr=" PAGE   \* MERGEFORMAT ">
          <w:r w:rsidR="006D614A">
            <w:rPr>
              <w:noProof/>
            </w:rPr>
            <w:t>8</w:t>
          </w:r>
        </w:fldSimple>
      </w:p>
    </w:sdtContent>
  </w:sdt>
  <w:p w:rsidR="001124BF" w:rsidRDefault="001124B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C19" w:rsidRDefault="009A6C19" w:rsidP="00ED57EB">
      <w:r>
        <w:separator/>
      </w:r>
    </w:p>
  </w:footnote>
  <w:footnote w:type="continuationSeparator" w:id="1">
    <w:p w:rsidR="009A6C19" w:rsidRDefault="009A6C19" w:rsidP="00ED57EB">
      <w:r>
        <w:continuationSeparator/>
      </w:r>
    </w:p>
  </w:footnote>
  <w:footnote w:id="2">
    <w:p w:rsidR="001124BF" w:rsidRPr="000966CA" w:rsidRDefault="001124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39"/>
  </w:num>
  <w:num w:numId="4">
    <w:abstractNumId w:val="1"/>
  </w:num>
  <w:num w:numId="5">
    <w:abstractNumId w:val="21"/>
  </w:num>
  <w:num w:numId="6">
    <w:abstractNumId w:val="26"/>
  </w:num>
  <w:num w:numId="7">
    <w:abstractNumId w:val="22"/>
  </w:num>
  <w:num w:numId="8">
    <w:abstractNumId w:val="14"/>
  </w:num>
  <w:num w:numId="9">
    <w:abstractNumId w:val="45"/>
  </w:num>
  <w:num w:numId="10">
    <w:abstractNumId w:val="47"/>
  </w:num>
  <w:num w:numId="11">
    <w:abstractNumId w:val="30"/>
  </w:num>
  <w:num w:numId="12">
    <w:abstractNumId w:val="4"/>
  </w:num>
  <w:num w:numId="13">
    <w:abstractNumId w:val="48"/>
  </w:num>
  <w:num w:numId="14">
    <w:abstractNumId w:val="25"/>
  </w:num>
  <w:num w:numId="15">
    <w:abstractNumId w:val="28"/>
  </w:num>
  <w:num w:numId="16">
    <w:abstractNumId w:val="15"/>
  </w:num>
  <w:num w:numId="17">
    <w:abstractNumId w:val="9"/>
  </w:num>
  <w:num w:numId="18">
    <w:abstractNumId w:val="41"/>
  </w:num>
  <w:num w:numId="19">
    <w:abstractNumId w:val="3"/>
  </w:num>
  <w:num w:numId="20">
    <w:abstractNumId w:val="32"/>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4"/>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4"/>
  </w:num>
  <w:num w:numId="43">
    <w:abstractNumId w:val="27"/>
  </w:num>
  <w:num w:numId="44">
    <w:abstractNumId w:val="38"/>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0"/>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5C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8A0"/>
    <w:rsid w:val="00300AA8"/>
    <w:rsid w:val="003023BC"/>
    <w:rsid w:val="00302FC3"/>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14A"/>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92215"/>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12477</Words>
  <Characters>91336</Characters>
  <Application>Microsoft Office Word</Application>
  <DocSecurity>0</DocSecurity>
  <Lines>761</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103606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9</cp:revision>
  <cp:lastPrinted>2021-06-03T06:01:00Z</cp:lastPrinted>
  <dcterms:created xsi:type="dcterms:W3CDTF">2021-06-25T06:13:00Z</dcterms:created>
  <dcterms:modified xsi:type="dcterms:W3CDTF">2021-06-25T08:12:00Z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