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C12D16" w:rsidTr="00B26974">
        <w:tc>
          <w:tcPr>
            <w:tcW w:w="9571" w:type="dxa"/>
          </w:tcPr>
          <w:p w:rsidR="00B26974" w:rsidRPr="007B7270" w:rsidRDefault="00B26974" w:rsidP="00B26974">
            <w:pPr>
              <w:pStyle w:val="p2"/>
              <w:shd w:val="clear" w:color="auto" w:fill="FFFFFF"/>
              <w:spacing w:before="0" w:beforeAutospacing="0" w:after="0" w:afterAutospacing="0"/>
              <w:jc w:val="center"/>
            </w:pPr>
            <w:r w:rsidRPr="007B7270">
              <w:t>Общество с ограниченной ответственностью «</w:t>
            </w:r>
            <w:proofErr w:type="spellStart"/>
            <w:r>
              <w:t>БитБук</w:t>
            </w:r>
            <w:proofErr w:type="spellEnd"/>
            <w:r w:rsidRPr="007B7270">
              <w:t>»</w:t>
            </w:r>
          </w:p>
          <w:p w:rsidR="00B26974" w:rsidRPr="008468EC" w:rsidRDefault="00B26974" w:rsidP="00B26974">
            <w:pPr>
              <w:pStyle w:val="p2"/>
              <w:shd w:val="clear" w:color="auto" w:fill="FFFFFF"/>
              <w:spacing w:before="0" w:beforeAutospacing="0" w:after="0" w:afterAutospacing="0"/>
              <w:jc w:val="center"/>
              <w:rPr>
                <w:rFonts w:ascii="Calibri" w:hAnsi="Calibri"/>
              </w:rPr>
            </w:pPr>
            <w:r>
              <w:rPr>
                <w:rFonts w:cstheme="minorHAnsi"/>
                <w:color w:val="000000" w:themeColor="text1"/>
              </w:rPr>
              <w:t xml:space="preserve">ОГРН </w:t>
            </w:r>
            <w:r w:rsidRPr="008468EC">
              <w:rPr>
                <w:rFonts w:cstheme="minorHAnsi"/>
                <w:color w:val="000000" w:themeColor="text1"/>
              </w:rPr>
              <w:t>1186658033220</w:t>
            </w:r>
            <w:r>
              <w:rPr>
                <w:rFonts w:cstheme="minorHAnsi"/>
                <w:color w:val="000000" w:themeColor="text1"/>
              </w:rPr>
              <w:t xml:space="preserve">, </w:t>
            </w:r>
            <w:r w:rsidRPr="00DB7BB4">
              <w:rPr>
                <w:rFonts w:cstheme="minorHAnsi"/>
                <w:color w:val="000000" w:themeColor="text1"/>
              </w:rPr>
              <w:t xml:space="preserve">ИНН </w:t>
            </w:r>
            <w:r w:rsidRPr="00A61FB7">
              <w:rPr>
                <w:rFonts w:cstheme="minorHAnsi"/>
                <w:color w:val="000000" w:themeColor="text1"/>
              </w:rPr>
              <w:t>6623126845</w:t>
            </w:r>
            <w:r>
              <w:rPr>
                <w:rFonts w:cstheme="minorHAnsi"/>
                <w:color w:val="000000" w:themeColor="text1"/>
              </w:rPr>
              <w:t xml:space="preserve">, </w:t>
            </w:r>
            <w:r w:rsidRPr="00DB7BB4">
              <w:rPr>
                <w:rFonts w:cstheme="minorHAnsi"/>
                <w:color w:val="000000" w:themeColor="text1"/>
              </w:rPr>
              <w:t xml:space="preserve">КПП </w:t>
            </w:r>
            <w:r w:rsidRPr="008468EC">
              <w:rPr>
                <w:rFonts w:cstheme="minorHAnsi"/>
                <w:color w:val="000000" w:themeColor="text1"/>
              </w:rPr>
              <w:t>662301001</w:t>
            </w:r>
            <w:r w:rsidRPr="00DB7BB4">
              <w:rPr>
                <w:rFonts w:cstheme="minorHAnsi"/>
                <w:color w:val="000000" w:themeColor="text1"/>
              </w:rPr>
              <w:t xml:space="preserve"> </w:t>
            </w:r>
            <w:r w:rsidRPr="00966C90">
              <w:rPr>
                <w:rFonts w:ascii="Calibri" w:hAnsi="Calibri"/>
              </w:rPr>
              <w:t>,</w:t>
            </w:r>
            <w:r w:rsidRPr="008468EC">
              <w:rPr>
                <w:rFonts w:cstheme="minorHAnsi"/>
                <w:color w:val="000000" w:themeColor="text1"/>
              </w:rPr>
              <w:t xml:space="preserve">622013 Свердловская область, </w:t>
            </w:r>
            <w:proofErr w:type="spellStart"/>
            <w:r w:rsidRPr="008468EC">
              <w:rPr>
                <w:rFonts w:cstheme="minorHAnsi"/>
                <w:color w:val="000000" w:themeColor="text1"/>
              </w:rPr>
              <w:t>г.Нижний</w:t>
            </w:r>
            <w:proofErr w:type="spellEnd"/>
            <w:r w:rsidRPr="008468EC">
              <w:rPr>
                <w:rFonts w:cstheme="minorHAnsi"/>
                <w:color w:val="000000" w:themeColor="text1"/>
              </w:rPr>
              <w:t xml:space="preserve"> Тагил, ул. Октябрьской</w:t>
            </w:r>
            <w:r>
              <w:rPr>
                <w:rFonts w:cstheme="minorHAnsi"/>
                <w:color w:val="000000" w:themeColor="text1"/>
              </w:rPr>
              <w:t xml:space="preserve"> </w:t>
            </w:r>
            <w:r w:rsidRPr="008468EC">
              <w:rPr>
                <w:rFonts w:cstheme="minorHAnsi"/>
                <w:color w:val="000000" w:themeColor="text1"/>
              </w:rPr>
              <w:t>революции, 7А-17</w:t>
            </w:r>
          </w:p>
          <w:p w:rsidR="00B26974" w:rsidRPr="008468EC" w:rsidRDefault="00B26974" w:rsidP="00B26974">
            <w:pPr>
              <w:pStyle w:val="p2"/>
              <w:shd w:val="clear" w:color="auto" w:fill="FFFFFF"/>
              <w:spacing w:before="0" w:beforeAutospacing="0" w:after="0" w:afterAutospacing="0"/>
              <w:jc w:val="center"/>
              <w:rPr>
                <w:rFonts w:ascii="Calibri" w:hAnsi="Calibri"/>
              </w:rPr>
            </w:pPr>
            <w:proofErr w:type="spellStart"/>
            <w:proofErr w:type="gramStart"/>
            <w:r w:rsidRPr="00966C90">
              <w:rPr>
                <w:rFonts w:ascii="Calibri" w:hAnsi="Calibri"/>
              </w:rPr>
              <w:t>р.сч</w:t>
            </w:r>
            <w:proofErr w:type="spellEnd"/>
            <w:proofErr w:type="gramEnd"/>
            <w:r>
              <w:rPr>
                <w:rFonts w:ascii="Calibri" w:hAnsi="Calibri"/>
              </w:rPr>
              <w:t>:</w:t>
            </w:r>
            <w:r w:rsidRPr="00966C90">
              <w:rPr>
                <w:rFonts w:ascii="Calibri" w:hAnsi="Calibri"/>
              </w:rPr>
              <w:t xml:space="preserve"> </w:t>
            </w:r>
            <w:r w:rsidRPr="008468EC">
              <w:rPr>
                <w:rStyle w:val="wmi-callto"/>
                <w:rFonts w:cstheme="minorHAnsi"/>
                <w:color w:val="000000"/>
                <w:shd w:val="clear" w:color="auto" w:fill="FFFFFF"/>
              </w:rPr>
              <w:t>40702810070010064519</w:t>
            </w:r>
            <w:r>
              <w:rPr>
                <w:rFonts w:ascii="Calibri" w:hAnsi="Calibri"/>
              </w:rPr>
              <w:t xml:space="preserve">, </w:t>
            </w:r>
            <w:proofErr w:type="spellStart"/>
            <w:r>
              <w:rPr>
                <w:rFonts w:ascii="Calibri" w:hAnsi="Calibri"/>
              </w:rPr>
              <w:t>к.сч</w:t>
            </w:r>
            <w:proofErr w:type="spellEnd"/>
            <w:r>
              <w:rPr>
                <w:rFonts w:ascii="Calibri" w:hAnsi="Calibri"/>
              </w:rPr>
              <w:t>:</w:t>
            </w:r>
            <w:r w:rsidRPr="00966C90">
              <w:rPr>
                <w:rFonts w:ascii="Calibri" w:hAnsi="Calibri"/>
              </w:rPr>
              <w:t xml:space="preserve"> </w:t>
            </w:r>
            <w:r w:rsidRPr="008468EC">
              <w:rPr>
                <w:rFonts w:cstheme="minorHAnsi"/>
                <w:color w:val="000000" w:themeColor="text1"/>
              </w:rPr>
              <w:t>30101810645250000092</w:t>
            </w:r>
            <w:r w:rsidRPr="00966C90">
              <w:rPr>
                <w:rFonts w:ascii="Calibri" w:hAnsi="Calibri"/>
              </w:rPr>
              <w:t>,</w:t>
            </w:r>
            <w:r>
              <w:rPr>
                <w:rFonts w:ascii="Calibri" w:hAnsi="Calibri"/>
              </w:rPr>
              <w:t xml:space="preserve">в </w:t>
            </w:r>
            <w:r w:rsidRPr="008468EC">
              <w:rPr>
                <w:rFonts w:ascii="Calibri" w:hAnsi="Calibri"/>
              </w:rPr>
              <w:t>МОСКОВСКИЙ ФИЛИАЛ АО КБ"МОДУЛЬБАНК"БИК: 044525092</w:t>
            </w:r>
          </w:p>
          <w:p w:rsidR="008A0425" w:rsidRDefault="008A0425" w:rsidP="008A0425">
            <w:pPr>
              <w:pStyle w:val="p2"/>
              <w:shd w:val="clear" w:color="auto" w:fill="FFFFFF"/>
              <w:spacing w:before="0" w:beforeAutospacing="0" w:after="0" w:afterAutospacing="0"/>
              <w:jc w:val="center"/>
            </w:pPr>
          </w:p>
          <w:p w:rsidR="00C12D16" w:rsidRDefault="00C12D16" w:rsidP="00C12D16">
            <w:pPr>
              <w:pStyle w:val="p2"/>
              <w:spacing w:before="0" w:beforeAutospacing="0" w:after="0" w:afterAutospacing="0"/>
              <w:jc w:val="center"/>
            </w:pPr>
          </w:p>
        </w:tc>
      </w:tr>
    </w:tbl>
    <w:p w:rsidR="00C12D16" w:rsidRDefault="00C12D16" w:rsidP="00C12D16">
      <w:pPr>
        <w:pStyle w:val="p2"/>
        <w:shd w:val="clear" w:color="auto" w:fill="FFFFFF"/>
        <w:spacing w:before="0" w:beforeAutospacing="0" w:after="0" w:afterAutospacing="0"/>
        <w:jc w:val="center"/>
      </w:pPr>
    </w:p>
    <w:p w:rsidR="00C12D16" w:rsidRDefault="00415D24" w:rsidP="00415D24">
      <w:pPr>
        <w:jc w:val="center"/>
        <w:rPr>
          <w:rFonts w:ascii="Cambria" w:hAnsi="Cambria"/>
          <w:b/>
          <w:sz w:val="24"/>
          <w:szCs w:val="24"/>
        </w:rPr>
      </w:pPr>
      <w:r>
        <w:rPr>
          <w:rFonts w:ascii="Cambria" w:hAnsi="Cambria"/>
          <w:b/>
          <w:sz w:val="24"/>
          <w:szCs w:val="24"/>
        </w:rPr>
        <w:t xml:space="preserve">ДЕКЛАРАЦИЯ СООТВЕТСТВИЯ </w:t>
      </w:r>
    </w:p>
    <w:p w:rsidR="00460EA0" w:rsidRPr="00415D24" w:rsidRDefault="00460EA0" w:rsidP="00415D24">
      <w:pPr>
        <w:jc w:val="center"/>
        <w:rPr>
          <w:rFonts w:ascii="Cambria" w:hAnsi="Cambria"/>
          <w:b/>
          <w:sz w:val="24"/>
          <w:szCs w:val="24"/>
        </w:rPr>
      </w:pPr>
      <w:bookmarkStart w:id="0" w:name="_GoBack"/>
      <w:bookmarkEnd w:id="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15D24" w:rsidRPr="00415D24" w:rsidTr="00475CAB">
        <w:trPr>
          <w:trHeight w:val="90"/>
        </w:trPr>
        <w:tc>
          <w:tcPr>
            <w:tcW w:w="9464" w:type="dxa"/>
          </w:tcPr>
          <w:p w:rsidR="00415D24" w:rsidRPr="00415D24" w:rsidRDefault="008A0425" w:rsidP="00475CAB">
            <w:pPr>
              <w:spacing w:after="0" w:line="240" w:lineRule="auto"/>
              <w:jc w:val="both"/>
              <w:rPr>
                <w:b/>
                <w:bCs/>
                <w:sz w:val="24"/>
                <w:szCs w:val="24"/>
              </w:rPr>
            </w:pPr>
            <w:r w:rsidRPr="008A0425">
              <w:rPr>
                <w:b/>
                <w:bCs/>
                <w:sz w:val="24"/>
                <w:szCs w:val="24"/>
              </w:rPr>
              <w:t>Настоящим,   Общество с ограниченной ответственностью «</w:t>
            </w:r>
            <w:proofErr w:type="spellStart"/>
            <w:r w:rsidR="00B26974">
              <w:rPr>
                <w:b/>
                <w:bCs/>
                <w:sz w:val="24"/>
                <w:szCs w:val="24"/>
              </w:rPr>
              <w:t>БитБук</w:t>
            </w:r>
            <w:proofErr w:type="spellEnd"/>
            <w:r w:rsidRPr="008A0425">
              <w:rPr>
                <w:b/>
                <w:bCs/>
                <w:sz w:val="24"/>
                <w:szCs w:val="24"/>
              </w:rPr>
              <w:t xml:space="preserve">», в лице, Директора </w:t>
            </w:r>
            <w:r w:rsidR="00B26974">
              <w:rPr>
                <w:b/>
                <w:bCs/>
                <w:sz w:val="24"/>
                <w:szCs w:val="24"/>
              </w:rPr>
              <w:t>Татарникова Андрея Александровича</w:t>
            </w:r>
            <w:r w:rsidRPr="008A0425">
              <w:rPr>
                <w:b/>
                <w:bCs/>
                <w:sz w:val="24"/>
                <w:szCs w:val="24"/>
              </w:rPr>
              <w:t>, действующего на основании Устава и Решения о назначении директора,</w:t>
            </w:r>
            <w:r>
              <w:rPr>
                <w:b/>
                <w:bCs/>
                <w:sz w:val="24"/>
                <w:szCs w:val="24"/>
              </w:rPr>
              <w:t xml:space="preserve"> </w:t>
            </w:r>
            <w:r w:rsidR="00415D24" w:rsidRPr="00415D24">
              <w:rPr>
                <w:b/>
                <w:bCs/>
                <w:sz w:val="24"/>
                <w:szCs w:val="24"/>
              </w:rPr>
              <w:t xml:space="preserve">сообщает о своем соответствии требованиям, установленным </w:t>
            </w:r>
            <w:hyperlink r:id="rId4" w:history="1">
              <w:r w:rsidR="00415D24" w:rsidRPr="00415D24">
                <w:rPr>
                  <w:rStyle w:val="a4"/>
                  <w:b/>
                  <w:bCs/>
                  <w:sz w:val="24"/>
                  <w:szCs w:val="24"/>
                </w:rPr>
                <w:t>пунктами 3</w:t>
              </w:r>
            </w:hyperlink>
            <w:r w:rsidR="00415D24" w:rsidRPr="00415D24">
              <w:rPr>
                <w:b/>
                <w:bCs/>
                <w:sz w:val="24"/>
                <w:szCs w:val="24"/>
              </w:rPr>
              <w:t xml:space="preserve"> - 9 части 1 статьи 31 Федерального закона от 05.04.2013   N 44-ФЗ «О контрактной системе в сфере закупок товаров, работ, услуг для обеспечения государственных и муниципальных нужд», а именно:</w:t>
            </w:r>
          </w:p>
        </w:tc>
      </w:tr>
      <w:tr w:rsidR="00415D24" w:rsidRPr="00415D24" w:rsidTr="00475CAB">
        <w:trPr>
          <w:trHeight w:val="90"/>
        </w:trPr>
        <w:tc>
          <w:tcPr>
            <w:tcW w:w="9464" w:type="dxa"/>
          </w:tcPr>
          <w:p w:rsidR="00415D24" w:rsidRPr="00415D24" w:rsidRDefault="00415D24" w:rsidP="00475CAB">
            <w:pPr>
              <w:spacing w:after="0" w:line="240" w:lineRule="auto"/>
              <w:jc w:val="both"/>
              <w:rPr>
                <w:b/>
                <w:i/>
                <w:sz w:val="24"/>
                <w:szCs w:val="24"/>
              </w:rPr>
            </w:pPr>
            <w:r w:rsidRPr="00415D24">
              <w:rPr>
                <w:bCs/>
                <w:iCs/>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аукционного производства;</w:t>
            </w:r>
          </w:p>
        </w:tc>
      </w:tr>
      <w:tr w:rsidR="00415D24" w:rsidRPr="00415D24" w:rsidTr="00475CAB">
        <w:trPr>
          <w:trHeight w:val="90"/>
        </w:trPr>
        <w:tc>
          <w:tcPr>
            <w:tcW w:w="9464" w:type="dxa"/>
          </w:tcPr>
          <w:p w:rsidR="00415D24" w:rsidRPr="00415D24" w:rsidRDefault="00415D24" w:rsidP="00475CAB">
            <w:pPr>
              <w:spacing w:after="0" w:line="240" w:lineRule="auto"/>
              <w:jc w:val="both"/>
              <w:rPr>
                <w:b/>
                <w:i/>
                <w:sz w:val="24"/>
                <w:szCs w:val="24"/>
              </w:rPr>
            </w:pPr>
            <w:r w:rsidRPr="00415D24">
              <w:rPr>
                <w:bCs/>
                <w:iCs/>
                <w:sz w:val="24"/>
                <w:szCs w:val="24"/>
              </w:rPr>
              <w:t xml:space="preserve">- </w:t>
            </w:r>
            <w:proofErr w:type="spellStart"/>
            <w:r w:rsidRPr="00415D24">
              <w:rPr>
                <w:bCs/>
                <w:iCs/>
                <w:sz w:val="24"/>
                <w:szCs w:val="24"/>
              </w:rPr>
              <w:t>неприостановление</w:t>
            </w:r>
            <w:proofErr w:type="spellEnd"/>
            <w:r w:rsidRPr="00415D24">
              <w:rPr>
                <w:bCs/>
                <w:iCs/>
                <w:sz w:val="24"/>
                <w:szCs w:val="24"/>
              </w:rPr>
              <w:t xml:space="preserve"> деятельности участника закупки в порядке, установленном </w:t>
            </w:r>
            <w:hyperlink r:id="rId5" w:history="1">
              <w:r w:rsidRPr="00415D24">
                <w:rPr>
                  <w:rStyle w:val="a4"/>
                  <w:bCs/>
                  <w:iCs/>
                  <w:sz w:val="24"/>
                  <w:szCs w:val="24"/>
                </w:rPr>
                <w:t>Кодексом</w:t>
              </w:r>
            </w:hyperlink>
            <w:r w:rsidRPr="00415D24">
              <w:rPr>
                <w:bCs/>
                <w:iCs/>
                <w:sz w:val="24"/>
                <w:szCs w:val="24"/>
              </w:rPr>
              <w:t xml:space="preserve"> Российской Федерации об административных правонарушениях, на дату подачи заявки на участие в закупке;</w:t>
            </w:r>
          </w:p>
        </w:tc>
      </w:tr>
      <w:tr w:rsidR="00415D24" w:rsidRPr="00415D24" w:rsidTr="00475CAB">
        <w:trPr>
          <w:trHeight w:val="90"/>
        </w:trPr>
        <w:tc>
          <w:tcPr>
            <w:tcW w:w="9464" w:type="dxa"/>
          </w:tcPr>
          <w:p w:rsidR="00415D24" w:rsidRPr="00415D24" w:rsidRDefault="00415D24" w:rsidP="00475CAB">
            <w:pPr>
              <w:spacing w:after="0" w:line="240" w:lineRule="auto"/>
              <w:jc w:val="both"/>
              <w:rPr>
                <w:b/>
                <w:i/>
                <w:sz w:val="24"/>
                <w:szCs w:val="24"/>
              </w:rPr>
            </w:pPr>
            <w:r w:rsidRPr="00415D24">
              <w:rPr>
                <w:bCs/>
                <w:i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415D24">
                <w:rPr>
                  <w:rStyle w:val="a4"/>
                  <w:bCs/>
                  <w:iCs/>
                  <w:sz w:val="24"/>
                  <w:szCs w:val="24"/>
                </w:rPr>
                <w:t>законодательством</w:t>
              </w:r>
            </w:hyperlink>
            <w:r w:rsidRPr="00415D24">
              <w:rPr>
                <w:bCs/>
                <w:i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history="1">
              <w:r w:rsidRPr="00415D24">
                <w:rPr>
                  <w:rStyle w:val="a4"/>
                  <w:bCs/>
                  <w:iCs/>
                  <w:sz w:val="24"/>
                  <w:szCs w:val="24"/>
                </w:rPr>
                <w:t>законодательством</w:t>
              </w:r>
            </w:hyperlink>
            <w:r w:rsidRPr="00415D24">
              <w:rPr>
                <w:bCs/>
                <w:i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415D24" w:rsidRPr="00415D24" w:rsidTr="00475CAB">
        <w:trPr>
          <w:trHeight w:val="699"/>
        </w:trPr>
        <w:tc>
          <w:tcPr>
            <w:tcW w:w="9464" w:type="dxa"/>
          </w:tcPr>
          <w:p w:rsidR="00415D24" w:rsidRPr="00415D24" w:rsidRDefault="00415D24" w:rsidP="00475CAB">
            <w:pPr>
              <w:spacing w:after="0" w:line="240" w:lineRule="auto"/>
              <w:jc w:val="both"/>
              <w:rPr>
                <w:b/>
                <w:i/>
                <w:sz w:val="24"/>
                <w:szCs w:val="24"/>
              </w:rPr>
            </w:pPr>
            <w:r w:rsidRPr="00415D24">
              <w:rPr>
                <w:bCs/>
                <w:iCs/>
                <w:sz w:val="24"/>
                <w:szCs w:val="24"/>
              </w:rPr>
              <w:t xml:space="preserve">- </w:t>
            </w:r>
            <w:r w:rsidRPr="00415D24">
              <w:rPr>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w:t>
            </w:r>
            <w:hyperlink r:id="rId8" w:history="1">
              <w:r w:rsidRPr="00415D24">
                <w:rPr>
                  <w:rStyle w:val="a4"/>
                  <w:sz w:val="24"/>
                  <w:szCs w:val="24"/>
                </w:rPr>
                <w:t>291.1 Уголовного кодекса</w:t>
              </w:r>
            </w:hyperlink>
            <w:r w:rsidRPr="00415D24">
              <w:rPr>
                <w:sz w:val="24"/>
                <w:szCs w:val="24"/>
              </w:rPr>
              <w:t xml:space="preserve">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w:t>
            </w:r>
            <w:r w:rsidRPr="00415D24">
              <w:rPr>
                <w:sz w:val="24"/>
                <w:szCs w:val="24"/>
              </w:rPr>
              <w:lastRenderedPageBreak/>
              <w:t>в виде дисквалификации</w:t>
            </w:r>
            <w:r w:rsidRPr="00415D24">
              <w:rPr>
                <w:bCs/>
                <w:iCs/>
                <w:sz w:val="24"/>
                <w:szCs w:val="24"/>
              </w:rPr>
              <w:t>;</w:t>
            </w:r>
          </w:p>
        </w:tc>
      </w:tr>
      <w:tr w:rsidR="00415D24" w:rsidRPr="00415D24" w:rsidTr="00475CAB">
        <w:trPr>
          <w:trHeight w:val="468"/>
        </w:trPr>
        <w:tc>
          <w:tcPr>
            <w:tcW w:w="9464" w:type="dxa"/>
          </w:tcPr>
          <w:p w:rsidR="00415D24" w:rsidRPr="00415D24" w:rsidRDefault="00415D24" w:rsidP="00475CAB">
            <w:pPr>
              <w:spacing w:after="0" w:line="240" w:lineRule="auto"/>
              <w:jc w:val="both"/>
              <w:rPr>
                <w:bCs/>
                <w:iCs/>
                <w:sz w:val="24"/>
                <w:szCs w:val="24"/>
              </w:rPr>
            </w:pPr>
            <w:r w:rsidRPr="00415D24">
              <w:rPr>
                <w:bCs/>
                <w:iCs/>
                <w:sz w:val="24"/>
                <w:szCs w:val="24"/>
              </w:rPr>
              <w:lastRenderedPageBreak/>
              <w:t xml:space="preserve">- </w:t>
            </w:r>
            <w:r w:rsidRPr="00415D24">
              <w:rPr>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415D24" w:rsidRPr="00415D24" w:rsidTr="00475CAB">
        <w:trPr>
          <w:trHeight w:val="90"/>
        </w:trPr>
        <w:tc>
          <w:tcPr>
            <w:tcW w:w="9464" w:type="dxa"/>
          </w:tcPr>
          <w:p w:rsidR="00415D24" w:rsidRPr="00415D24" w:rsidRDefault="00415D24" w:rsidP="00475CAB">
            <w:pPr>
              <w:spacing w:after="0" w:line="240" w:lineRule="auto"/>
              <w:jc w:val="both"/>
              <w:rPr>
                <w:bCs/>
                <w:iCs/>
                <w:sz w:val="24"/>
                <w:szCs w:val="24"/>
              </w:rPr>
            </w:pPr>
            <w:r w:rsidRPr="00415D24">
              <w:rPr>
                <w:sz w:val="24"/>
                <w:szCs w:val="24"/>
              </w:rPr>
              <w:t>-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415D24" w:rsidRPr="00415D24" w:rsidTr="00475CAB">
        <w:trPr>
          <w:trHeight w:val="90"/>
        </w:trPr>
        <w:tc>
          <w:tcPr>
            <w:tcW w:w="9464" w:type="dxa"/>
          </w:tcPr>
          <w:p w:rsidR="00415D24" w:rsidRPr="00415D24" w:rsidRDefault="00415D24" w:rsidP="00475CAB">
            <w:pPr>
              <w:spacing w:after="0" w:line="240" w:lineRule="auto"/>
              <w:jc w:val="both"/>
              <w:rPr>
                <w:b/>
                <w:i/>
                <w:sz w:val="24"/>
                <w:szCs w:val="24"/>
              </w:rPr>
            </w:pPr>
            <w:r w:rsidRPr="00415D24">
              <w:rPr>
                <w:bCs/>
                <w:iCs/>
                <w:sz w:val="24"/>
                <w:szCs w:val="24"/>
              </w:rPr>
              <w:t xml:space="preserve">- </w:t>
            </w:r>
            <w:r w:rsidRPr="00415D24">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415D24" w:rsidRPr="00415D24" w:rsidTr="00475CAB">
        <w:trPr>
          <w:trHeight w:val="325"/>
        </w:trPr>
        <w:tc>
          <w:tcPr>
            <w:tcW w:w="9464" w:type="dxa"/>
          </w:tcPr>
          <w:p w:rsidR="00415D24" w:rsidRPr="00415D24" w:rsidRDefault="00415D24" w:rsidP="00475CAB">
            <w:pPr>
              <w:spacing w:after="0" w:line="240" w:lineRule="auto"/>
              <w:jc w:val="both"/>
              <w:rPr>
                <w:bCs/>
                <w:iCs/>
                <w:sz w:val="24"/>
                <w:szCs w:val="24"/>
              </w:rPr>
            </w:pPr>
            <w:r w:rsidRPr="00415D24">
              <w:rPr>
                <w:bCs/>
                <w:iCs/>
                <w:sz w:val="24"/>
                <w:szCs w:val="24"/>
              </w:rPr>
              <w:t>- не является оффшорной компанией;</w:t>
            </w:r>
          </w:p>
        </w:tc>
      </w:tr>
      <w:tr w:rsidR="00415D24" w:rsidRPr="00415D24" w:rsidTr="00475CAB">
        <w:trPr>
          <w:trHeight w:val="795"/>
        </w:trPr>
        <w:tc>
          <w:tcPr>
            <w:tcW w:w="9464" w:type="dxa"/>
          </w:tcPr>
          <w:p w:rsidR="00415D24" w:rsidRPr="00415D24" w:rsidRDefault="00415D24" w:rsidP="00475CAB">
            <w:pPr>
              <w:spacing w:after="0" w:line="240" w:lineRule="auto"/>
              <w:jc w:val="both"/>
              <w:rPr>
                <w:bCs/>
                <w:iCs/>
                <w:sz w:val="24"/>
                <w:szCs w:val="24"/>
              </w:rPr>
            </w:pPr>
            <w:r w:rsidRPr="00415D24">
              <w:rPr>
                <w:bCs/>
                <w:iCs/>
                <w:sz w:val="24"/>
                <w:szCs w:val="24"/>
              </w:rPr>
              <w:t xml:space="preserve">- </w:t>
            </w:r>
            <w:r w:rsidRPr="00415D24">
              <w:rPr>
                <w:sz w:val="24"/>
                <w:szCs w:val="24"/>
              </w:rPr>
              <w:t>не является организацией, находящиеся под юрисдикцией Турецкой республики, а также организацией, контролируемой гражданами Турецкой Республики и (или) организацией, находящейся под юрисдикцией Турецкой Республики;</w:t>
            </w:r>
          </w:p>
        </w:tc>
      </w:tr>
      <w:tr w:rsidR="00415D24" w:rsidRPr="00415D24" w:rsidTr="00475CAB">
        <w:trPr>
          <w:trHeight w:val="780"/>
        </w:trPr>
        <w:tc>
          <w:tcPr>
            <w:tcW w:w="9464" w:type="dxa"/>
          </w:tcPr>
          <w:p w:rsidR="00415D24" w:rsidRPr="00415D24" w:rsidRDefault="00415D24" w:rsidP="00475CAB">
            <w:pPr>
              <w:spacing w:after="0" w:line="240" w:lineRule="auto"/>
              <w:jc w:val="both"/>
              <w:rPr>
                <w:bCs/>
                <w:iCs/>
                <w:sz w:val="24"/>
                <w:szCs w:val="24"/>
              </w:rPr>
            </w:pPr>
            <w:r w:rsidRPr="00415D24">
              <w:rPr>
                <w:sz w:val="24"/>
                <w:szCs w:val="24"/>
              </w:rPr>
              <w:t>- 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75CAB" w:rsidTr="00475CAB">
        <w:tblPrEx>
          <w:tblLook w:val="0000" w:firstRow="0" w:lastRow="0" w:firstColumn="0" w:lastColumn="0" w:noHBand="0" w:noVBand="0"/>
        </w:tblPrEx>
        <w:trPr>
          <w:trHeight w:val="972"/>
        </w:trPr>
        <w:tc>
          <w:tcPr>
            <w:tcW w:w="9464" w:type="dxa"/>
          </w:tcPr>
          <w:p w:rsidR="00475CAB" w:rsidRPr="000F5047" w:rsidRDefault="00475CAB" w:rsidP="00475CAB">
            <w:pPr>
              <w:shd w:val="clear" w:color="auto" w:fill="FFFFFF"/>
              <w:spacing w:after="0" w:line="240" w:lineRule="auto"/>
              <w:jc w:val="both"/>
              <w:rPr>
                <w:rFonts w:cs="Arial"/>
                <w:color w:val="333333"/>
                <w:sz w:val="24"/>
                <w:szCs w:val="24"/>
              </w:rPr>
            </w:pPr>
            <w:r>
              <w:rPr>
                <w:rStyle w:val="blk"/>
                <w:rFonts w:cs="Arial"/>
                <w:color w:val="333333"/>
                <w:sz w:val="24"/>
                <w:szCs w:val="24"/>
              </w:rPr>
              <w:t xml:space="preserve">- </w:t>
            </w:r>
            <w:r w:rsidRPr="000F5047">
              <w:rPr>
                <w:rStyle w:val="blk"/>
                <w:rFonts w:cs="Arial"/>
                <w:color w:val="333333"/>
                <w:sz w:val="24"/>
                <w:szCs w:val="24"/>
              </w:rPr>
              <w:t>отсутствие у участника закупки ограничений для участия в закупках, установленных законодательством Российской Федерации.</w:t>
            </w:r>
          </w:p>
          <w:p w:rsidR="00475CAB" w:rsidRDefault="00475CAB" w:rsidP="00475CAB">
            <w:pPr>
              <w:spacing w:after="0" w:line="240" w:lineRule="auto"/>
              <w:ind w:left="108"/>
              <w:rPr>
                <w:sz w:val="24"/>
                <w:szCs w:val="24"/>
              </w:rPr>
            </w:pPr>
            <w:r w:rsidRPr="000F5047">
              <w:rPr>
                <w:rStyle w:val="blk"/>
                <w:rFonts w:cs="Arial"/>
                <w:color w:val="333333"/>
                <w:sz w:val="24"/>
                <w:szCs w:val="24"/>
              </w:rPr>
              <w:t>(п. 11 введен Федеральным </w:t>
            </w:r>
            <w:hyperlink r:id="rId9" w:anchor="dst100124" w:history="1">
              <w:r w:rsidRPr="000F5047">
                <w:rPr>
                  <w:rStyle w:val="a4"/>
                  <w:rFonts w:cs="Arial"/>
                  <w:color w:val="666699"/>
                  <w:sz w:val="24"/>
                  <w:szCs w:val="24"/>
                </w:rPr>
                <w:t>законом</w:t>
              </w:r>
            </w:hyperlink>
            <w:r w:rsidRPr="000F5047">
              <w:rPr>
                <w:rStyle w:val="blk"/>
                <w:rFonts w:cs="Arial"/>
                <w:color w:val="333333"/>
                <w:sz w:val="24"/>
                <w:szCs w:val="24"/>
              </w:rPr>
              <w:t> от 31.12.2017 N 504-ФЗ)</w:t>
            </w:r>
          </w:p>
          <w:p w:rsidR="00475CAB" w:rsidRDefault="00475CAB" w:rsidP="00475CAB">
            <w:pPr>
              <w:spacing w:after="0" w:line="240" w:lineRule="auto"/>
              <w:ind w:left="108"/>
              <w:rPr>
                <w:sz w:val="24"/>
                <w:szCs w:val="24"/>
              </w:rPr>
            </w:pPr>
          </w:p>
          <w:p w:rsidR="00475CAB" w:rsidRDefault="00475CAB" w:rsidP="00475CAB">
            <w:pPr>
              <w:spacing w:after="0" w:line="240" w:lineRule="auto"/>
              <w:ind w:left="108"/>
              <w:rPr>
                <w:sz w:val="24"/>
                <w:szCs w:val="24"/>
              </w:rPr>
            </w:pPr>
          </w:p>
        </w:tc>
      </w:tr>
    </w:tbl>
    <w:p w:rsidR="008A0425" w:rsidRDefault="008A0425" w:rsidP="008A0425">
      <w:pPr>
        <w:spacing w:after="0" w:line="240" w:lineRule="auto"/>
        <w:rPr>
          <w:sz w:val="24"/>
          <w:szCs w:val="24"/>
        </w:rPr>
      </w:pPr>
      <w:r>
        <w:rPr>
          <w:sz w:val="24"/>
          <w:szCs w:val="24"/>
        </w:rPr>
        <w:t xml:space="preserve">Директор, </w:t>
      </w:r>
      <w:r w:rsidR="00B26974">
        <w:rPr>
          <w:sz w:val="24"/>
          <w:szCs w:val="24"/>
        </w:rPr>
        <w:t>Татарников</w:t>
      </w:r>
      <w:r>
        <w:rPr>
          <w:sz w:val="24"/>
          <w:szCs w:val="24"/>
        </w:rPr>
        <w:t xml:space="preserve"> </w:t>
      </w:r>
      <w:r w:rsidR="00B26974">
        <w:rPr>
          <w:sz w:val="24"/>
          <w:szCs w:val="24"/>
        </w:rPr>
        <w:t>А</w:t>
      </w:r>
      <w:r>
        <w:rPr>
          <w:sz w:val="24"/>
          <w:szCs w:val="24"/>
        </w:rPr>
        <w:t>.А.</w:t>
      </w:r>
    </w:p>
    <w:p w:rsidR="00C12D16" w:rsidRDefault="00C12D16" w:rsidP="00C12D16">
      <w:pPr>
        <w:spacing w:after="0" w:line="240" w:lineRule="auto"/>
        <w:rPr>
          <w:sz w:val="24"/>
          <w:szCs w:val="24"/>
        </w:rPr>
      </w:pPr>
    </w:p>
    <w:p w:rsidR="00C12D16" w:rsidRPr="00452985" w:rsidRDefault="00C12D16" w:rsidP="00C12D16">
      <w:pPr>
        <w:spacing w:after="0" w:line="240" w:lineRule="auto"/>
        <w:rPr>
          <w:sz w:val="24"/>
          <w:szCs w:val="24"/>
        </w:rPr>
      </w:pPr>
      <w:r>
        <w:rPr>
          <w:sz w:val="24"/>
          <w:szCs w:val="24"/>
        </w:rPr>
        <w:t>_______________________________________</w:t>
      </w:r>
    </w:p>
    <w:p w:rsidR="00C12D16" w:rsidRDefault="00C12D16" w:rsidP="00C12D16">
      <w:pPr>
        <w:spacing w:after="0" w:line="240" w:lineRule="auto"/>
        <w:rPr>
          <w:sz w:val="24"/>
          <w:szCs w:val="24"/>
        </w:rPr>
      </w:pPr>
    </w:p>
    <w:p w:rsidR="00C12D16" w:rsidRPr="00966C90" w:rsidRDefault="00C12D16" w:rsidP="00C12D16">
      <w:pPr>
        <w:spacing w:after="0" w:line="240" w:lineRule="auto"/>
        <w:rPr>
          <w:sz w:val="24"/>
          <w:szCs w:val="24"/>
        </w:rPr>
      </w:pPr>
      <w:r w:rsidRPr="00452985">
        <w:rPr>
          <w:sz w:val="24"/>
          <w:szCs w:val="24"/>
        </w:rPr>
        <w:t>М.П.</w:t>
      </w:r>
    </w:p>
    <w:p w:rsidR="00C12D16" w:rsidRDefault="00C12D16" w:rsidP="00C12D16">
      <w:pPr>
        <w:pStyle w:val="p2"/>
        <w:shd w:val="clear" w:color="auto" w:fill="FFFFFF"/>
        <w:spacing w:before="0" w:beforeAutospacing="0" w:after="0" w:afterAutospacing="0"/>
        <w:jc w:val="center"/>
      </w:pPr>
    </w:p>
    <w:sectPr w:rsidR="00C12D16" w:rsidSect="00D43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16"/>
    <w:rsid w:val="000C7C98"/>
    <w:rsid w:val="00415D24"/>
    <w:rsid w:val="00460EA0"/>
    <w:rsid w:val="00475CAB"/>
    <w:rsid w:val="008A0425"/>
    <w:rsid w:val="0094185F"/>
    <w:rsid w:val="00B26974"/>
    <w:rsid w:val="00BD7E7E"/>
    <w:rsid w:val="00C12D16"/>
    <w:rsid w:val="00D43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6769"/>
  <w15:docId w15:val="{09A80585-F824-4E10-B212-A9C76E9A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3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C12D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basedOn w:val="a0"/>
    <w:rsid w:val="00C12D16"/>
  </w:style>
  <w:style w:type="table" w:styleId="a3">
    <w:name w:val="Table Grid"/>
    <w:basedOn w:val="a1"/>
    <w:uiPriority w:val="59"/>
    <w:rsid w:val="00C12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5D24"/>
    <w:rPr>
      <w:color w:val="0000FF" w:themeColor="hyperlink"/>
      <w:u w:val="single"/>
    </w:rPr>
  </w:style>
  <w:style w:type="character" w:customStyle="1" w:styleId="blk">
    <w:name w:val="blk"/>
    <w:basedOn w:val="a0"/>
    <w:rsid w:val="00475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355123">
      <w:bodyDiv w:val="1"/>
      <w:marLeft w:val="0"/>
      <w:marRight w:val="0"/>
      <w:marTop w:val="0"/>
      <w:marBottom w:val="0"/>
      <w:divBdr>
        <w:top w:val="none" w:sz="0" w:space="0" w:color="auto"/>
        <w:left w:val="none" w:sz="0" w:space="0" w:color="auto"/>
        <w:bottom w:val="none" w:sz="0" w:space="0" w:color="auto"/>
        <w:right w:val="none" w:sz="0" w:space="0" w:color="auto"/>
      </w:divBdr>
    </w:div>
    <w:div w:id="21029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uk/Razdel-X/Glava-30/Statya-291.1/" TargetMode="External"/><Relationship Id="rId3" Type="http://schemas.openxmlformats.org/officeDocument/2006/relationships/webSettings" Target="webSettings.xml"/><Relationship Id="rId7" Type="http://schemas.openxmlformats.org/officeDocument/2006/relationships/hyperlink" Target="consultantplus://offline/ref=32B0814AF5D3D8CEF875356FCB404E4945573E6E2238299CDDDF271C6A1DDDE7C81E2EC40D51f114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2B0814AF5D3D8CEF875356FCB404E4945573E6E2238299CDDDF271C6A1DDDE7C81E2EC40D53f113H" TargetMode="External"/><Relationship Id="rId11" Type="http://schemas.openxmlformats.org/officeDocument/2006/relationships/theme" Target="theme/theme1.xml"/><Relationship Id="rId5" Type="http://schemas.openxmlformats.org/officeDocument/2006/relationships/hyperlink" Target="consultantplus://offline/ref=32B0814AF5D3D8CEF875356FCB404E49455731642E3D299CDDDF271C6A1DDDE7C81E2EC00Df513H" TargetMode="External"/><Relationship Id="rId10" Type="http://schemas.openxmlformats.org/officeDocument/2006/relationships/fontTable" Target="fontTable.xml"/><Relationship Id="rId4" Type="http://schemas.openxmlformats.org/officeDocument/2006/relationships/hyperlink" Target="consultantplus://offline/ref=0C47DD2721C1B469C654FCD0C17AFA6B69157A75F1A30A39159A8982512CDAC6500D329669CB689DvCF1R" TargetMode="External"/><Relationship Id="rId9" Type="http://schemas.openxmlformats.org/officeDocument/2006/relationships/hyperlink" Target="http://www.consultant.ru/document/cons_doc_LAW_286777/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Токмакова</dc:creator>
  <cp:lastModifiedBy>rk</cp:lastModifiedBy>
  <cp:revision>3</cp:revision>
  <dcterms:created xsi:type="dcterms:W3CDTF">2018-12-06T07:45:00Z</dcterms:created>
  <dcterms:modified xsi:type="dcterms:W3CDTF">2018-12-06T07:45:00Z</dcterms:modified>
</cp:coreProperties>
</file>